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059C" w14:textId="54E2BF79" w:rsidR="00327E7F" w:rsidRPr="00327E7F" w:rsidRDefault="00327E7F" w:rsidP="00327E7F">
      <w:pPr>
        <w:rPr>
          <w:rFonts w:ascii="Arial" w:hAnsi="Arial" w:cs="Arial"/>
          <w:b/>
          <w:bCs/>
        </w:rPr>
      </w:pPr>
      <w:r w:rsidRPr="00327E7F">
        <w:rPr>
          <w:rFonts w:ascii="Arial" w:hAnsi="Arial" w:cs="Arial"/>
          <w:b/>
          <w:bCs/>
        </w:rPr>
        <w:t>3GPP TSG RAN WG1 Meeting #94bis</w:t>
      </w:r>
      <w:r w:rsidRPr="00327E7F">
        <w:rPr>
          <w:rFonts w:ascii="Arial" w:hAnsi="Arial" w:cs="Arial"/>
          <w:b/>
          <w:bCs/>
        </w:rPr>
        <w:tab/>
      </w:r>
      <w:r w:rsidRPr="00327E7F">
        <w:rPr>
          <w:rFonts w:ascii="Arial" w:hAnsi="Arial" w:cs="Arial"/>
          <w:b/>
          <w:bCs/>
        </w:rPr>
        <w:tab/>
      </w:r>
      <w:r w:rsidR="005D0806">
        <w:rPr>
          <w:rFonts w:ascii="Arial" w:hAnsi="Arial" w:cs="Arial"/>
          <w:b/>
          <w:bCs/>
        </w:rPr>
        <w:tab/>
      </w:r>
      <w:r w:rsidR="005D0806">
        <w:rPr>
          <w:rFonts w:ascii="Arial" w:hAnsi="Arial" w:cs="Arial"/>
          <w:b/>
          <w:bCs/>
        </w:rPr>
        <w:tab/>
      </w:r>
      <w:r w:rsidR="005D0806">
        <w:rPr>
          <w:rFonts w:ascii="Arial" w:hAnsi="Arial" w:cs="Arial"/>
          <w:b/>
          <w:bCs/>
        </w:rPr>
        <w:tab/>
      </w:r>
      <w:r w:rsidR="005D0806">
        <w:rPr>
          <w:rFonts w:ascii="Arial" w:hAnsi="Arial" w:cs="Arial"/>
          <w:b/>
          <w:bCs/>
        </w:rPr>
        <w:tab/>
      </w:r>
      <w:r w:rsidR="005D0806">
        <w:rPr>
          <w:rFonts w:ascii="Arial" w:hAnsi="Arial" w:cs="Arial"/>
          <w:b/>
          <w:bCs/>
        </w:rPr>
        <w:tab/>
      </w:r>
      <w:r w:rsidRPr="00327E7F">
        <w:rPr>
          <w:rFonts w:ascii="Arial" w:hAnsi="Arial" w:cs="Arial"/>
          <w:b/>
          <w:bCs/>
        </w:rPr>
        <w:t>R1-18</w:t>
      </w:r>
      <w:r w:rsidR="00CD6E12">
        <w:rPr>
          <w:rFonts w:ascii="Arial" w:hAnsi="Arial" w:cs="Arial"/>
          <w:b/>
          <w:bCs/>
        </w:rPr>
        <w:t>11122</w:t>
      </w:r>
      <w:bookmarkStart w:id="0" w:name="_GoBack"/>
      <w:bookmarkEnd w:id="0"/>
    </w:p>
    <w:p w14:paraId="0D441781" w14:textId="77777777" w:rsidR="00327E7F" w:rsidRPr="00327E7F" w:rsidRDefault="00327E7F" w:rsidP="00327E7F">
      <w:pPr>
        <w:rPr>
          <w:rFonts w:ascii="Arial" w:hAnsi="Arial" w:cs="Arial"/>
          <w:b/>
          <w:bCs/>
        </w:rPr>
      </w:pPr>
      <w:r w:rsidRPr="00327E7F">
        <w:rPr>
          <w:rFonts w:ascii="Arial" w:hAnsi="Arial" w:cs="Arial"/>
          <w:b/>
          <w:bCs/>
        </w:rPr>
        <w:t xml:space="preserve">Chengdu, China, October 8th – 12th, 2018 </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271910C8"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7.1.</w:t>
      </w:r>
      <w:r w:rsidR="00827761">
        <w:rPr>
          <w:sz w:val="22"/>
          <w:szCs w:val="22"/>
        </w:rPr>
        <w:t>4</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5E744CD3" w14:textId="77777777" w:rsidR="000973EF" w:rsidRDefault="003D3C45" w:rsidP="00311702">
      <w:pPr>
        <w:pStyle w:val="3GPPHeader"/>
        <w:rPr>
          <w:sz w:val="22"/>
          <w:szCs w:val="22"/>
        </w:rPr>
      </w:pPr>
      <w:r w:rsidRPr="00315C6E">
        <w:rPr>
          <w:sz w:val="22"/>
          <w:szCs w:val="22"/>
        </w:rPr>
        <w:t>Title:</w:t>
      </w:r>
      <w:r w:rsidR="00E90E49" w:rsidRPr="00315C6E">
        <w:rPr>
          <w:sz w:val="22"/>
          <w:szCs w:val="22"/>
        </w:rPr>
        <w:tab/>
      </w:r>
      <w:r w:rsidR="000973EF" w:rsidRPr="000973EF">
        <w:rPr>
          <w:sz w:val="22"/>
          <w:szCs w:val="22"/>
        </w:rPr>
        <w:t>Discussion on EN-DC Power Control</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6614B372" w:rsidR="00342E02" w:rsidRPr="00342E02" w:rsidRDefault="00E90E49" w:rsidP="00342E02">
      <w:pPr>
        <w:pStyle w:val="Heading1"/>
      </w:pPr>
      <w:r w:rsidRPr="00315C6E">
        <w:t>Introduction</w:t>
      </w:r>
    </w:p>
    <w:p w14:paraId="2BE8B1F5" w14:textId="032DAB96" w:rsidR="00B34FA1" w:rsidRDefault="00827761" w:rsidP="004A311F">
      <w:pPr>
        <w:rPr>
          <w:rFonts w:eastAsia="MS Mincho"/>
          <w:sz w:val="22"/>
          <w:szCs w:val="22"/>
          <w:lang w:eastAsia="ja-JP"/>
        </w:rPr>
      </w:pPr>
      <w:r>
        <w:rPr>
          <w:rFonts w:eastAsia="MS Mincho"/>
          <w:sz w:val="22"/>
          <w:szCs w:val="22"/>
          <w:lang w:eastAsia="ja-JP"/>
        </w:rPr>
        <w:t xml:space="preserve">EN-DC operation requires </w:t>
      </w:r>
      <w:r w:rsidR="001B5530">
        <w:rPr>
          <w:rFonts w:eastAsia="MS Mincho"/>
          <w:sz w:val="22"/>
          <w:szCs w:val="22"/>
          <w:lang w:eastAsia="ja-JP"/>
        </w:rPr>
        <w:t>a</w:t>
      </w:r>
      <w:r>
        <w:rPr>
          <w:rFonts w:eastAsia="MS Mincho"/>
          <w:sz w:val="22"/>
          <w:szCs w:val="22"/>
          <w:lang w:eastAsia="ja-JP"/>
        </w:rPr>
        <w:t xml:space="preserve"> UE to transmit both LTE UL and NR UL simultaneously, except for t</w:t>
      </w:r>
      <w:r w:rsidR="00E65DE5">
        <w:rPr>
          <w:rFonts w:eastAsia="MS Mincho"/>
          <w:sz w:val="22"/>
          <w:szCs w:val="22"/>
          <w:lang w:eastAsia="ja-JP"/>
        </w:rPr>
        <w:t>hose different band combinations with</w:t>
      </w:r>
      <w:r>
        <w:rPr>
          <w:rFonts w:eastAsia="MS Mincho"/>
          <w:sz w:val="22"/>
          <w:szCs w:val="22"/>
          <w:lang w:eastAsia="ja-JP"/>
        </w:rPr>
        <w:t xml:space="preserve"> IMD issue</w:t>
      </w:r>
      <w:r w:rsidR="00C31470">
        <w:rPr>
          <w:rFonts w:eastAsia="MS Mincho"/>
          <w:sz w:val="22"/>
          <w:szCs w:val="22"/>
          <w:lang w:eastAsia="ja-JP"/>
        </w:rPr>
        <w:t>s</w:t>
      </w:r>
      <w:r>
        <w:rPr>
          <w:rFonts w:eastAsia="MS Mincho"/>
          <w:sz w:val="22"/>
          <w:szCs w:val="22"/>
          <w:lang w:eastAsia="ja-JP"/>
        </w:rPr>
        <w:t xml:space="preserve"> defined in RAN4 </w:t>
      </w:r>
      <w:r w:rsidR="00392E94">
        <w:rPr>
          <w:rFonts w:eastAsia="MS Mincho"/>
          <w:sz w:val="22"/>
          <w:szCs w:val="22"/>
          <w:lang w:eastAsia="ja-JP"/>
        </w:rPr>
        <w:t xml:space="preserve">(TS38.101-3) </w:t>
      </w:r>
      <w:r>
        <w:rPr>
          <w:rFonts w:eastAsia="MS Mincho"/>
          <w:sz w:val="22"/>
          <w:szCs w:val="22"/>
          <w:lang w:eastAsia="ja-JP"/>
        </w:rPr>
        <w:t>or type 2 UEs who do no</w:t>
      </w:r>
      <w:r w:rsidR="007448FE">
        <w:rPr>
          <w:rFonts w:eastAsia="MS Mincho"/>
          <w:sz w:val="22"/>
          <w:szCs w:val="22"/>
          <w:lang w:eastAsia="ja-JP"/>
        </w:rPr>
        <w:t>t</w:t>
      </w:r>
      <w:r>
        <w:rPr>
          <w:rFonts w:eastAsia="MS Mincho"/>
          <w:sz w:val="22"/>
          <w:szCs w:val="22"/>
          <w:lang w:eastAsia="ja-JP"/>
        </w:rPr>
        <w:t xml:space="preserve"> support dynamic power </w:t>
      </w:r>
      <w:r w:rsidR="005D0806">
        <w:rPr>
          <w:rFonts w:eastAsia="MS Mincho"/>
          <w:sz w:val="22"/>
          <w:szCs w:val="22"/>
          <w:lang w:eastAsia="ja-JP"/>
        </w:rPr>
        <w:t xml:space="preserve">sharing. Simultaneous UL transmission in two RATs creates a lot of challenges </w:t>
      </w:r>
      <w:r w:rsidR="00CC35F7">
        <w:rPr>
          <w:rFonts w:eastAsia="MS Mincho"/>
          <w:sz w:val="22"/>
          <w:szCs w:val="22"/>
          <w:lang w:eastAsia="ja-JP"/>
        </w:rPr>
        <w:t xml:space="preserve">in many aspects. </w:t>
      </w:r>
      <w:r w:rsidR="00722042">
        <w:rPr>
          <w:rFonts w:eastAsia="MS Mincho"/>
          <w:sz w:val="22"/>
          <w:szCs w:val="22"/>
          <w:lang w:eastAsia="ja-JP"/>
        </w:rPr>
        <w:t>Contribution [1]</w:t>
      </w:r>
      <w:r w:rsidR="006B29DD">
        <w:rPr>
          <w:rFonts w:eastAsia="MS Mincho"/>
          <w:sz w:val="22"/>
          <w:szCs w:val="22"/>
          <w:lang w:eastAsia="ja-JP"/>
        </w:rPr>
        <w:t xml:space="preserve"> brought up two important design issue regarding to the simultaneous NR and LTE UL transmissions</w:t>
      </w:r>
      <w:r w:rsidR="00B34FA1">
        <w:rPr>
          <w:rFonts w:eastAsia="MS Mincho"/>
          <w:sz w:val="22"/>
          <w:szCs w:val="22"/>
          <w:lang w:eastAsia="ja-JP"/>
        </w:rPr>
        <w:t xml:space="preserve"> in the aspect of</w:t>
      </w:r>
    </w:p>
    <w:p w14:paraId="4FF02437" w14:textId="77777777" w:rsidR="001D2FD9" w:rsidRDefault="001D2FD9" w:rsidP="004A311F">
      <w:pPr>
        <w:rPr>
          <w:rFonts w:eastAsia="MS Mincho"/>
          <w:sz w:val="22"/>
          <w:szCs w:val="22"/>
          <w:lang w:eastAsia="ja-JP"/>
        </w:rPr>
      </w:pPr>
    </w:p>
    <w:p w14:paraId="501801AC" w14:textId="557E6449" w:rsidR="00B34FA1" w:rsidRPr="00B34FA1" w:rsidRDefault="00B34FA1" w:rsidP="00B34FA1">
      <w:pPr>
        <w:pStyle w:val="ListParagraph"/>
        <w:numPr>
          <w:ilvl w:val="0"/>
          <w:numId w:val="40"/>
        </w:numPr>
        <w:rPr>
          <w:rFonts w:ascii="Times New Roman" w:eastAsia="MS Mincho" w:hAnsi="Times New Roman"/>
          <w:lang w:eastAsia="ja-JP"/>
        </w:rPr>
      </w:pPr>
      <w:r w:rsidRPr="00B34FA1">
        <w:rPr>
          <w:rFonts w:ascii="Times New Roman" w:eastAsia="MS Mincho" w:hAnsi="Times New Roman"/>
          <w:lang w:eastAsia="ja-JP"/>
        </w:rPr>
        <w:t>Processing timing requirement difference between LTE</w:t>
      </w:r>
      <w:r w:rsidR="001D2FD9">
        <w:rPr>
          <w:rFonts w:ascii="Times New Roman" w:eastAsia="MS Mincho" w:hAnsi="Times New Roman"/>
          <w:lang w:eastAsia="ja-JP"/>
        </w:rPr>
        <w:t xml:space="preserve"> and NR</w:t>
      </w:r>
      <w:r w:rsidRPr="00B34FA1">
        <w:rPr>
          <w:rFonts w:ascii="Times New Roman" w:eastAsia="MS Mincho" w:hAnsi="Times New Roman"/>
          <w:lang w:eastAsia="ja-JP"/>
        </w:rPr>
        <w:t xml:space="preserve">. LTE is designed to operate with 4ms timeline for both the DCI scheduling and PUSCH retransmission. However, NR is designed to have flexible timing configuration </w:t>
      </w:r>
      <w:r w:rsidR="00B85883">
        <w:rPr>
          <w:rFonts w:ascii="Times New Roman" w:eastAsia="MS Mincho" w:hAnsi="Times New Roman"/>
          <w:lang w:eastAsia="ja-JP"/>
        </w:rPr>
        <w:t xml:space="preserve">via </w:t>
      </w:r>
      <w:r w:rsidRPr="00B34FA1">
        <w:rPr>
          <w:rFonts w:ascii="Times New Roman" w:eastAsia="MS Mincho" w:hAnsi="Times New Roman"/>
          <w:lang w:eastAsia="ja-JP"/>
        </w:rPr>
        <w:t>RRC/DCI and capable of operating much faster than LTE. This creates challenges in terms of both power control and PHR report</w:t>
      </w:r>
      <w:r w:rsidR="00D92801">
        <w:rPr>
          <w:rFonts w:ascii="Times New Roman" w:eastAsia="MS Mincho" w:hAnsi="Times New Roman"/>
          <w:lang w:eastAsia="ja-JP"/>
        </w:rPr>
        <w:t>.</w:t>
      </w:r>
    </w:p>
    <w:p w14:paraId="4BE7FA24" w14:textId="77777777" w:rsidR="00B34FA1" w:rsidRPr="00B34FA1" w:rsidRDefault="00B34FA1" w:rsidP="00B34FA1">
      <w:pPr>
        <w:pStyle w:val="ListParagraph"/>
        <w:numPr>
          <w:ilvl w:val="0"/>
          <w:numId w:val="40"/>
        </w:numPr>
        <w:rPr>
          <w:rFonts w:ascii="Times New Roman" w:eastAsia="MS Mincho" w:hAnsi="Times New Roman"/>
          <w:lang w:eastAsia="ja-JP"/>
        </w:rPr>
      </w:pPr>
      <w:r w:rsidRPr="00B34FA1">
        <w:rPr>
          <w:rFonts w:ascii="Times New Roman" w:eastAsia="MS Mincho" w:hAnsi="Times New Roman"/>
          <w:lang w:eastAsia="ja-JP"/>
        </w:rPr>
        <w:t>Partially overlapped LTE and NR transmission: NR UL transmission has very flexible starting point with very flexible time domain durations, this can cause the problem of partially overlapped LTE and NR UL transmission which leads to phase discontinuity due to PA power change.</w:t>
      </w:r>
    </w:p>
    <w:p w14:paraId="199C9C04" w14:textId="77777777" w:rsidR="00B34FA1" w:rsidRPr="00B34FA1" w:rsidRDefault="00B34FA1" w:rsidP="00B34FA1">
      <w:pPr>
        <w:rPr>
          <w:rFonts w:eastAsia="MS Mincho"/>
          <w:sz w:val="22"/>
          <w:szCs w:val="22"/>
          <w:lang w:eastAsia="ja-JP"/>
        </w:rPr>
      </w:pPr>
    </w:p>
    <w:p w14:paraId="0803431E" w14:textId="53B6D6C6" w:rsidR="00B34FA1" w:rsidRDefault="00B34FA1" w:rsidP="00B34FA1">
      <w:pPr>
        <w:rPr>
          <w:rFonts w:eastAsia="MS Mincho"/>
          <w:sz w:val="22"/>
          <w:szCs w:val="22"/>
          <w:lang w:eastAsia="ja-JP"/>
        </w:rPr>
      </w:pPr>
      <w:r w:rsidRPr="00B34FA1">
        <w:rPr>
          <w:rFonts w:eastAsia="MS Mincho"/>
          <w:sz w:val="22"/>
          <w:szCs w:val="22"/>
          <w:lang w:eastAsia="ja-JP"/>
        </w:rPr>
        <w:t>T</w:t>
      </w:r>
      <w:r>
        <w:rPr>
          <w:rFonts w:eastAsia="MS Mincho"/>
          <w:sz w:val="22"/>
          <w:szCs w:val="22"/>
          <w:lang w:eastAsia="ja-JP"/>
        </w:rPr>
        <w:t xml:space="preserve">here already has been extensive discussion in different WGs in order to solve this problem. Regarding the processing timing requirement difference issue, </w:t>
      </w:r>
      <w:r w:rsidR="0004137F">
        <w:rPr>
          <w:rFonts w:eastAsia="MS Mincho"/>
          <w:sz w:val="22"/>
          <w:szCs w:val="22"/>
          <w:lang w:eastAsia="ja-JP"/>
        </w:rPr>
        <w:t>it was agreed to maintain LTE processing timing while requiring UE to adjust NR transmit power to meet all the RF requirement [2]</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04137F" w14:paraId="70DB4107" w14:textId="77777777" w:rsidTr="0004137F">
        <w:tc>
          <w:tcPr>
            <w:tcW w:w="9855" w:type="dxa"/>
          </w:tcPr>
          <w:p w14:paraId="07D6F0C6" w14:textId="77777777" w:rsidR="0004137F" w:rsidRPr="0004137F" w:rsidRDefault="0004137F" w:rsidP="0004137F">
            <w:pPr>
              <w:rPr>
                <w:rFonts w:eastAsia="MS Mincho"/>
                <w:sz w:val="22"/>
                <w:szCs w:val="22"/>
                <w:lang w:eastAsia="ja-JP"/>
              </w:rPr>
            </w:pPr>
            <w:r w:rsidRPr="0004137F">
              <w:rPr>
                <w:rFonts w:eastAsia="MS Mincho"/>
                <w:sz w:val="22"/>
                <w:szCs w:val="22"/>
                <w:highlight w:val="green"/>
                <w:lang w:eastAsia="ja-JP"/>
              </w:rPr>
              <w:t>Agreements:</w:t>
            </w:r>
          </w:p>
          <w:p w14:paraId="5BDF9254" w14:textId="77777777" w:rsidR="0004137F" w:rsidRPr="0004137F" w:rsidRDefault="0004137F" w:rsidP="0004137F">
            <w:pPr>
              <w:numPr>
                <w:ilvl w:val="0"/>
                <w:numId w:val="41"/>
              </w:numPr>
              <w:tabs>
                <w:tab w:val="left" w:pos="1440"/>
              </w:tabs>
              <w:rPr>
                <w:rFonts w:eastAsia="MS Mincho"/>
                <w:sz w:val="22"/>
                <w:szCs w:val="22"/>
                <w:lang w:eastAsia="ja-JP"/>
              </w:rPr>
            </w:pPr>
            <w:r w:rsidRPr="0004137F">
              <w:rPr>
                <w:rFonts w:eastAsia="MS Mincho"/>
                <w:sz w:val="22"/>
                <w:szCs w:val="22"/>
                <w:lang w:eastAsia="ja-JP"/>
              </w:rPr>
              <w:t>At least for LTE-NR NSA operation</w:t>
            </w:r>
          </w:p>
          <w:p w14:paraId="2AFD7569"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Maximum allowed power values for LTE (P_LTE) and NR (P_NR) are set separately</w:t>
            </w:r>
          </w:p>
          <w:p w14:paraId="588E0F44" w14:textId="77777777" w:rsidR="0004137F" w:rsidRPr="0004137F" w:rsidRDefault="0004137F" w:rsidP="0004137F">
            <w:pPr>
              <w:numPr>
                <w:ilvl w:val="2"/>
                <w:numId w:val="41"/>
              </w:numPr>
              <w:tabs>
                <w:tab w:val="left" w:pos="1440"/>
              </w:tabs>
              <w:rPr>
                <w:rFonts w:eastAsia="MS Mincho"/>
                <w:sz w:val="22"/>
                <w:szCs w:val="22"/>
                <w:lang w:eastAsia="ja-JP"/>
              </w:rPr>
            </w:pPr>
            <w:r w:rsidRPr="0004137F">
              <w:rPr>
                <w:rFonts w:eastAsia="MS Mincho"/>
                <w:sz w:val="22"/>
                <w:szCs w:val="22"/>
                <w:lang w:eastAsia="ja-JP"/>
              </w:rPr>
              <w:t xml:space="preserve">i.e., when UE is configured for NR, P_LTE can be configured up to P_cmax and  P_NR can be configured up to P_cmax. </w:t>
            </w:r>
          </w:p>
          <w:p w14:paraId="5CEC808A" w14:textId="77777777" w:rsidR="0004137F" w:rsidRPr="0004137F" w:rsidRDefault="0004137F" w:rsidP="0004137F">
            <w:pPr>
              <w:numPr>
                <w:ilvl w:val="2"/>
                <w:numId w:val="41"/>
              </w:numPr>
              <w:tabs>
                <w:tab w:val="left" w:pos="1440"/>
              </w:tabs>
              <w:rPr>
                <w:rFonts w:eastAsia="MS Mincho"/>
                <w:sz w:val="22"/>
                <w:szCs w:val="22"/>
                <w:lang w:eastAsia="ja-JP"/>
              </w:rPr>
            </w:pPr>
            <w:r w:rsidRPr="0004137F">
              <w:rPr>
                <w:rFonts w:eastAsia="MS Mincho"/>
                <w:sz w:val="22"/>
                <w:szCs w:val="22"/>
                <w:lang w:eastAsia="ja-JP"/>
              </w:rPr>
              <w:t>e.g. P_LTE + P_NR &gt; P_cmax or P_LTE + P_NR = P_cmax</w:t>
            </w:r>
          </w:p>
          <w:p w14:paraId="780C09FE"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Signaling details for P_LTE, P_NR are left to RAN2, RAN4.</w:t>
            </w:r>
          </w:p>
          <w:p w14:paraId="00E849A4"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Note: ‘P_cmax’ is a limit that is similar to ‘The configured maximum UE output power’ that was specified for LTE.</w:t>
            </w:r>
          </w:p>
          <w:p w14:paraId="6A5DCF80"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Note: The network will still have flexibility to prioritize or reserve certain NR transmission power depending on network implementation</w:t>
            </w:r>
          </w:p>
          <w:p w14:paraId="2BEE40D0"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All UEs are mandated to handle P_LTE + P_NR = P_cmax while handling of P_LTE + P_NR &gt; P_cmax depends on UE capability</w:t>
            </w:r>
          </w:p>
          <w:p w14:paraId="6E392C4C"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 xml:space="preserve">At least, when DL/UL LTE sTTI/reduced UE processing time based operation is not configured for the UE, if total transmit power exceeds P_cmax when there is simultaneous NR and LTE UL tx, </w:t>
            </w:r>
          </w:p>
          <w:p w14:paraId="22655D6B" w14:textId="77777777" w:rsidR="0004137F" w:rsidRPr="0004137F" w:rsidRDefault="0004137F" w:rsidP="0004137F">
            <w:pPr>
              <w:numPr>
                <w:ilvl w:val="2"/>
                <w:numId w:val="41"/>
              </w:numPr>
              <w:tabs>
                <w:tab w:val="left" w:pos="1440"/>
              </w:tabs>
              <w:rPr>
                <w:rFonts w:eastAsia="MS Mincho"/>
                <w:sz w:val="22"/>
                <w:szCs w:val="22"/>
                <w:lang w:eastAsia="ja-JP"/>
              </w:rPr>
            </w:pPr>
            <w:r w:rsidRPr="0004137F">
              <w:rPr>
                <w:rFonts w:eastAsia="MS Mincho"/>
                <w:sz w:val="22"/>
                <w:szCs w:val="22"/>
                <w:lang w:eastAsia="ja-JP"/>
              </w:rPr>
              <w:t>For NR, UE scales down/drops NR transmission and NR power scaling details are left to UE implementation (note: it is not intended to have RAN4 test from RAN1 perspective)</w:t>
            </w:r>
          </w:p>
          <w:p w14:paraId="25BD8473" w14:textId="77777777" w:rsidR="0004137F" w:rsidRPr="0004137F" w:rsidRDefault="0004137F" w:rsidP="0004137F">
            <w:pPr>
              <w:numPr>
                <w:ilvl w:val="3"/>
                <w:numId w:val="41"/>
              </w:numPr>
              <w:tabs>
                <w:tab w:val="left" w:pos="1440"/>
              </w:tabs>
              <w:rPr>
                <w:rFonts w:eastAsia="MS Mincho"/>
                <w:sz w:val="22"/>
                <w:szCs w:val="22"/>
                <w:lang w:eastAsia="ja-JP"/>
              </w:rPr>
            </w:pPr>
            <w:r w:rsidRPr="0004137F">
              <w:rPr>
                <w:rFonts w:eastAsia="MS Mincho"/>
                <w:sz w:val="22"/>
                <w:szCs w:val="22"/>
                <w:lang w:eastAsia="ja-JP"/>
              </w:rPr>
              <w:t>If there are two or more UL carriers, the power scaling or tx dropping can be performed for each of the UL carriers separately or jointly up to UE implementation</w:t>
            </w:r>
          </w:p>
          <w:p w14:paraId="728EFA8E" w14:textId="77777777" w:rsidR="0004137F" w:rsidRPr="0004137F" w:rsidRDefault="0004137F" w:rsidP="0004137F">
            <w:pPr>
              <w:numPr>
                <w:ilvl w:val="2"/>
                <w:numId w:val="41"/>
              </w:numPr>
              <w:tabs>
                <w:tab w:val="left" w:pos="1440"/>
              </w:tabs>
              <w:rPr>
                <w:rFonts w:eastAsia="MS Mincho"/>
                <w:sz w:val="22"/>
                <w:szCs w:val="22"/>
                <w:lang w:eastAsia="ja-JP"/>
              </w:rPr>
            </w:pPr>
            <w:r w:rsidRPr="0004137F">
              <w:rPr>
                <w:rFonts w:eastAsia="MS Mincho"/>
                <w:sz w:val="22"/>
                <w:szCs w:val="22"/>
                <w:lang w:eastAsia="ja-JP"/>
              </w:rPr>
              <w:t>For LTE, no change in power control procedure</w:t>
            </w:r>
          </w:p>
          <w:p w14:paraId="722EFE10"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 xml:space="preserve">FFS the case when DL/UL LTE sTTI/reduced UE processing time based operation is </w:t>
            </w:r>
            <w:r w:rsidRPr="0004137F">
              <w:rPr>
                <w:rFonts w:eastAsia="MS Mincho"/>
                <w:sz w:val="22"/>
                <w:szCs w:val="22"/>
                <w:lang w:eastAsia="ja-JP"/>
              </w:rPr>
              <w:lastRenderedPageBreak/>
              <w:t>configured for the UE</w:t>
            </w:r>
          </w:p>
          <w:p w14:paraId="0FD59BFC" w14:textId="77777777" w:rsidR="0004137F" w:rsidRPr="0004137F" w:rsidRDefault="0004137F" w:rsidP="0004137F">
            <w:pPr>
              <w:numPr>
                <w:ilvl w:val="1"/>
                <w:numId w:val="41"/>
              </w:numPr>
              <w:tabs>
                <w:tab w:val="left" w:pos="1440"/>
              </w:tabs>
              <w:rPr>
                <w:rFonts w:eastAsia="MS Mincho"/>
                <w:sz w:val="22"/>
                <w:szCs w:val="22"/>
                <w:lang w:eastAsia="ja-JP"/>
              </w:rPr>
            </w:pPr>
            <w:r w:rsidRPr="0004137F">
              <w:rPr>
                <w:rFonts w:eastAsia="MS Mincho"/>
                <w:sz w:val="22"/>
                <w:szCs w:val="22"/>
                <w:lang w:eastAsia="ja-JP"/>
              </w:rPr>
              <w:t>The following is FFS</w:t>
            </w:r>
          </w:p>
          <w:p w14:paraId="077A1098" w14:textId="4B57F0A5" w:rsidR="0004137F" w:rsidRPr="0004137F" w:rsidRDefault="0004137F" w:rsidP="00B34FA1">
            <w:pPr>
              <w:numPr>
                <w:ilvl w:val="2"/>
                <w:numId w:val="41"/>
              </w:numPr>
              <w:tabs>
                <w:tab w:val="left" w:pos="1440"/>
              </w:tabs>
              <w:rPr>
                <w:rFonts w:eastAsia="MS Mincho"/>
                <w:sz w:val="22"/>
                <w:szCs w:val="22"/>
                <w:lang w:eastAsia="ja-JP"/>
              </w:rPr>
            </w:pPr>
            <w:r w:rsidRPr="0004137F">
              <w:rPr>
                <w:rFonts w:eastAsia="MS Mincho"/>
                <w:sz w:val="22"/>
                <w:szCs w:val="22"/>
                <w:lang w:eastAsia="ja-JP"/>
              </w:rPr>
              <w:t>The case when P_NR is configured such that P_NR &lt; P_cmax, and UE can use power up to P_cmax in NR when it knows that there will be no UL transmission in LTE by semi-static configuration (e.g., measurement gap, DL/UL configuration)</w:t>
            </w:r>
          </w:p>
        </w:tc>
      </w:tr>
    </w:tbl>
    <w:p w14:paraId="285A5381" w14:textId="77777777" w:rsidR="0004137F" w:rsidRDefault="0004137F" w:rsidP="00B34FA1">
      <w:pPr>
        <w:rPr>
          <w:rFonts w:eastAsia="MS Mincho"/>
          <w:sz w:val="22"/>
          <w:szCs w:val="22"/>
          <w:lang w:eastAsia="ja-JP"/>
        </w:rPr>
      </w:pPr>
    </w:p>
    <w:p w14:paraId="6BA85B2B" w14:textId="77777777" w:rsidR="001D5702" w:rsidRDefault="001D5702" w:rsidP="00B34FA1">
      <w:pPr>
        <w:rPr>
          <w:rFonts w:eastAsia="MS Mincho"/>
          <w:sz w:val="22"/>
          <w:szCs w:val="22"/>
          <w:lang w:eastAsia="ja-JP"/>
        </w:rPr>
      </w:pPr>
    </w:p>
    <w:p w14:paraId="34BE75F6" w14:textId="1F931701" w:rsidR="001D5702" w:rsidRDefault="001D5702" w:rsidP="00B34FA1">
      <w:pPr>
        <w:rPr>
          <w:rFonts w:eastAsia="MS Mincho"/>
          <w:sz w:val="22"/>
          <w:szCs w:val="22"/>
          <w:lang w:eastAsia="ja-JP"/>
        </w:rPr>
      </w:pPr>
      <w:r>
        <w:rPr>
          <w:rFonts w:eastAsia="MS Mincho"/>
          <w:sz w:val="22"/>
          <w:szCs w:val="22"/>
          <w:lang w:eastAsia="ja-JP"/>
        </w:rPr>
        <w:t>However, current spec allows the full flexibility for NR UE to either scale down its NR transmit power or drop UE transmission when power scaling is needed. To further regulate the UE behavior, follow</w:t>
      </w:r>
      <w:r w:rsidR="00B7328B">
        <w:rPr>
          <w:rFonts w:eastAsia="MS Mincho"/>
          <w:sz w:val="22"/>
          <w:szCs w:val="22"/>
          <w:lang w:eastAsia="ja-JP"/>
        </w:rPr>
        <w:t>ing</w:t>
      </w:r>
      <w:r>
        <w:rPr>
          <w:rFonts w:eastAsia="MS Mincho"/>
          <w:sz w:val="22"/>
          <w:szCs w:val="22"/>
          <w:lang w:eastAsia="ja-JP"/>
        </w:rPr>
        <w:t xml:space="preserve"> agreement was reach</w:t>
      </w:r>
      <w:r w:rsidR="00F837BA">
        <w:rPr>
          <w:rFonts w:eastAsia="MS Mincho"/>
          <w:sz w:val="22"/>
          <w:szCs w:val="22"/>
          <w:lang w:eastAsia="ja-JP"/>
        </w:rPr>
        <w:t>ed</w:t>
      </w:r>
      <w:r>
        <w:rPr>
          <w:rFonts w:eastAsia="MS Mincho"/>
          <w:sz w:val="22"/>
          <w:szCs w:val="22"/>
          <w:lang w:eastAsia="ja-JP"/>
        </w:rPr>
        <w:t xml:space="preserve"> in [3]</w:t>
      </w:r>
    </w:p>
    <w:p w14:paraId="7296C9E4" w14:textId="77777777" w:rsidR="001D5702" w:rsidRDefault="001D5702"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1D5702" w14:paraId="73CF4BAB" w14:textId="77777777" w:rsidTr="001D5702">
        <w:tc>
          <w:tcPr>
            <w:tcW w:w="9855" w:type="dxa"/>
          </w:tcPr>
          <w:p w14:paraId="49973BC3" w14:textId="6DC9DCC8"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Use the RAN4 endorsed CR in R4-1811484 on Inter-band EN-DC configured Output power as a starting point and continue improving requirement in TS38.101-3 in the RAN4 meetings</w:t>
            </w:r>
          </w:p>
          <w:p w14:paraId="49DC7A7C" w14:textId="22DFC32B" w:rsidR="001F0B22" w:rsidRPr="001F0B22" w:rsidRDefault="001F0B22" w:rsidP="001F0B22">
            <w:pPr>
              <w:pStyle w:val="ListParagraph"/>
              <w:numPr>
                <w:ilvl w:val="1"/>
                <w:numId w:val="43"/>
              </w:numPr>
              <w:rPr>
                <w:rFonts w:ascii="Times New Roman" w:eastAsia="MS Mincho" w:hAnsi="Times New Roman"/>
                <w:lang w:eastAsia="ja-JP"/>
              </w:rPr>
            </w:pPr>
            <w:r w:rsidRPr="001F0B22">
              <w:rPr>
                <w:rFonts w:ascii="Times New Roman" w:eastAsia="MS Mincho" w:hAnsi="Times New Roman"/>
                <w:lang w:eastAsia="ja-JP"/>
              </w:rPr>
              <w:t>to prevent unnecessary NR dropping for dynamic power sharing EN-DC UEs when there is ’real’ power left from LTE UL</w:t>
            </w:r>
          </w:p>
          <w:p w14:paraId="2A53CE4D" w14:textId="533ECD3E"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The following conditions should be used when improving the RAN4 Inter-band EN-DC Configured Output Power requirements:</w:t>
            </w:r>
          </w:p>
          <w:p w14:paraId="6C1E1EFC" w14:textId="2B127F0E" w:rsidR="001F0B22" w:rsidRPr="001F0B22" w:rsidRDefault="001F0B22" w:rsidP="001F0B22">
            <w:pPr>
              <w:pStyle w:val="ListParagraph"/>
              <w:numPr>
                <w:ilvl w:val="1"/>
                <w:numId w:val="43"/>
              </w:numPr>
              <w:rPr>
                <w:rFonts w:ascii="Times New Roman" w:eastAsia="MS Mincho" w:hAnsi="Times New Roman"/>
                <w:lang w:eastAsia="ja-JP"/>
              </w:rPr>
            </w:pPr>
            <w:r w:rsidRPr="001F0B22">
              <w:rPr>
                <w:rFonts w:ascii="Times New Roman" w:eastAsia="MS Mincho" w:hAnsi="Times New Roman"/>
                <w:lang w:eastAsia="ja-JP"/>
              </w:rPr>
              <w:t>UE is allowed to drop NR only if the power scaling applied to NR means that the difference between scaled and unscaled NR UL power is more than XdB. In other cases the UE does power scaling of NR UL.</w:t>
            </w:r>
          </w:p>
          <w:p w14:paraId="5A97A088" w14:textId="16191DE0"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X dB is RRC configured parameter with 4 fixed values and X is [0, 2, 4 or 6] dB. The UE has to be able to support all these 4 configurable X values.</w:t>
            </w:r>
          </w:p>
          <w:p w14:paraId="05F66C55" w14:textId="23A22C74"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This threshold X dB does not limit the UE performance but only defines the UE minimum performance (i.e. UE can perform better than the minimum performance)</w:t>
            </w:r>
          </w:p>
          <w:p w14:paraId="59A6B412" w14:textId="5BF1C50B" w:rsidR="001F0B22" w:rsidRPr="001F0B22" w:rsidRDefault="001F0B22" w:rsidP="001F0B22">
            <w:pPr>
              <w:pStyle w:val="ListParagraph"/>
              <w:numPr>
                <w:ilvl w:val="0"/>
                <w:numId w:val="43"/>
              </w:numPr>
              <w:rPr>
                <w:rFonts w:ascii="Times New Roman" w:eastAsia="MS Mincho" w:hAnsi="Times New Roman"/>
                <w:lang w:eastAsia="ja-JP"/>
              </w:rPr>
            </w:pPr>
            <w:r w:rsidRPr="001F0B22">
              <w:rPr>
                <w:rFonts w:ascii="Times New Roman" w:eastAsia="MS Mincho" w:hAnsi="Times New Roman"/>
                <w:lang w:eastAsia="ja-JP"/>
              </w:rPr>
              <w:t>Handling of partial overlap needs to be addressed (including possibility to leave this up to the UE implementation)</w:t>
            </w:r>
          </w:p>
          <w:p w14:paraId="76674BAE" w14:textId="6B570368" w:rsidR="001F0B22" w:rsidRPr="001F0B22" w:rsidRDefault="001F0B22" w:rsidP="001F0B22">
            <w:pPr>
              <w:pStyle w:val="ListParagraph"/>
              <w:numPr>
                <w:ilvl w:val="0"/>
                <w:numId w:val="44"/>
              </w:numPr>
              <w:rPr>
                <w:rFonts w:eastAsia="MS Mincho"/>
                <w:lang w:eastAsia="ja-JP"/>
              </w:rPr>
            </w:pPr>
            <w:r w:rsidRPr="001F0B22">
              <w:rPr>
                <w:rFonts w:ascii="Times New Roman" w:eastAsia="MS Mincho" w:hAnsi="Times New Roman"/>
                <w:lang w:eastAsia="ja-JP"/>
              </w:rPr>
              <w:t>Handling of multiple NR UL carriers needs to be addressed (including possibility to leave this up to the UE implementation)</w:t>
            </w:r>
          </w:p>
        </w:tc>
      </w:tr>
    </w:tbl>
    <w:p w14:paraId="76229A8C" w14:textId="77777777" w:rsidR="001D5702" w:rsidRDefault="001D5702" w:rsidP="00B34FA1">
      <w:pPr>
        <w:rPr>
          <w:rFonts w:eastAsia="MS Mincho"/>
          <w:sz w:val="22"/>
          <w:szCs w:val="22"/>
          <w:lang w:eastAsia="ja-JP"/>
        </w:rPr>
      </w:pPr>
    </w:p>
    <w:p w14:paraId="08CC016C" w14:textId="19EEB857" w:rsidR="00B34FA1" w:rsidRDefault="00B34FA1" w:rsidP="00B34FA1">
      <w:pPr>
        <w:rPr>
          <w:rFonts w:eastAsia="MS Mincho"/>
          <w:sz w:val="22"/>
          <w:szCs w:val="22"/>
          <w:lang w:eastAsia="ja-JP"/>
        </w:rPr>
      </w:pPr>
      <w:r>
        <w:rPr>
          <w:rFonts w:eastAsia="MS Mincho"/>
          <w:sz w:val="22"/>
          <w:szCs w:val="22"/>
          <w:lang w:eastAsia="ja-JP"/>
        </w:rPr>
        <w:t xml:space="preserve">Regarding the phase </w:t>
      </w:r>
      <w:r w:rsidR="002E2F2A">
        <w:rPr>
          <w:rFonts w:eastAsia="MS Mincho"/>
          <w:sz w:val="22"/>
          <w:szCs w:val="22"/>
          <w:lang w:eastAsia="ja-JP"/>
        </w:rPr>
        <w:t>discontinuity</w:t>
      </w:r>
      <w:r>
        <w:rPr>
          <w:rFonts w:eastAsia="MS Mincho"/>
          <w:sz w:val="22"/>
          <w:szCs w:val="22"/>
          <w:lang w:eastAsia="ja-JP"/>
        </w:rPr>
        <w:t xml:space="preserve"> </w:t>
      </w:r>
      <w:r w:rsidR="002E2F2A">
        <w:rPr>
          <w:rFonts w:eastAsia="MS Mincho"/>
          <w:sz w:val="22"/>
          <w:szCs w:val="22"/>
          <w:lang w:eastAsia="ja-JP"/>
        </w:rPr>
        <w:t>issue, the fo</w:t>
      </w:r>
      <w:r w:rsidR="001D5702">
        <w:rPr>
          <w:rFonts w:eastAsia="MS Mincho"/>
          <w:sz w:val="22"/>
          <w:szCs w:val="22"/>
          <w:lang w:eastAsia="ja-JP"/>
        </w:rPr>
        <w:t>llowing agreement was reached [4</w:t>
      </w:r>
      <w:r w:rsidR="002E2F2A">
        <w:rPr>
          <w:rFonts w:eastAsia="MS Mincho"/>
          <w:sz w:val="22"/>
          <w:szCs w:val="22"/>
          <w:lang w:eastAsia="ja-JP"/>
        </w:rPr>
        <w:t>]</w:t>
      </w:r>
    </w:p>
    <w:p w14:paraId="67D3BFEC" w14:textId="77777777" w:rsidR="002E2F2A" w:rsidRPr="00B34FA1" w:rsidRDefault="006B29DD" w:rsidP="00B34FA1">
      <w:pPr>
        <w:rPr>
          <w:rFonts w:eastAsia="MS Mincho"/>
          <w:sz w:val="22"/>
          <w:szCs w:val="22"/>
          <w:lang w:eastAsia="ja-JP"/>
        </w:rPr>
      </w:pPr>
      <w:r w:rsidRPr="00B34FA1">
        <w:rPr>
          <w:rFonts w:eastAsia="MS Mincho"/>
          <w:sz w:val="22"/>
          <w:szCs w:val="22"/>
          <w:lang w:eastAsia="ja-JP"/>
        </w:rPr>
        <w:t xml:space="preserve"> </w:t>
      </w:r>
    </w:p>
    <w:tbl>
      <w:tblPr>
        <w:tblStyle w:val="TableGrid"/>
        <w:tblW w:w="0" w:type="auto"/>
        <w:tblLook w:val="04A0" w:firstRow="1" w:lastRow="0" w:firstColumn="1" w:lastColumn="0" w:noHBand="0" w:noVBand="1"/>
      </w:tblPr>
      <w:tblGrid>
        <w:gridCol w:w="9855"/>
      </w:tblGrid>
      <w:tr w:rsidR="002E2F2A" w14:paraId="4ECAE6BA" w14:textId="77777777" w:rsidTr="002E2F2A">
        <w:tc>
          <w:tcPr>
            <w:tcW w:w="9855" w:type="dxa"/>
          </w:tcPr>
          <w:p w14:paraId="6072F7E2" w14:textId="77777777" w:rsidR="00541020" w:rsidRPr="00541020" w:rsidRDefault="00541020" w:rsidP="00541020">
            <w:pPr>
              <w:rPr>
                <w:sz w:val="22"/>
                <w:szCs w:val="22"/>
                <w:lang w:eastAsia="x-none"/>
              </w:rPr>
            </w:pPr>
            <w:r w:rsidRPr="00541020">
              <w:rPr>
                <w:sz w:val="22"/>
                <w:szCs w:val="22"/>
                <w:highlight w:val="green"/>
                <w:lang w:eastAsia="x-none"/>
              </w:rPr>
              <w:t>Agreement:</w:t>
            </w:r>
          </w:p>
          <w:p w14:paraId="359C7CC2" w14:textId="77777777" w:rsidR="00541020" w:rsidRPr="00541020" w:rsidRDefault="00541020" w:rsidP="00541020">
            <w:pPr>
              <w:rPr>
                <w:sz w:val="22"/>
                <w:szCs w:val="22"/>
                <w:lang w:eastAsia="x-none"/>
              </w:rPr>
            </w:pPr>
            <w:r w:rsidRPr="00541020">
              <w:rPr>
                <w:sz w:val="22"/>
                <w:szCs w:val="22"/>
                <w:lang w:eastAsia="x-none"/>
              </w:rPr>
              <w:t>UE capability signalling that indicates per band per band combination whether the UE can handle (motivated by impacts of PA phase discontinuity) cases with overlapping transmissions with non-aligned starting or ending times or hop boundaries across carriers is beneficial and is introduced.</w:t>
            </w:r>
          </w:p>
          <w:p w14:paraId="4F6AFF49" w14:textId="77777777" w:rsidR="00541020" w:rsidRPr="00541020" w:rsidRDefault="00541020" w:rsidP="00541020">
            <w:pPr>
              <w:numPr>
                <w:ilvl w:val="0"/>
                <w:numId w:val="42"/>
              </w:numPr>
              <w:rPr>
                <w:sz w:val="22"/>
                <w:szCs w:val="22"/>
                <w:lang w:eastAsia="x-none"/>
              </w:rPr>
            </w:pPr>
            <w:r w:rsidRPr="00541020">
              <w:rPr>
                <w:sz w:val="22"/>
                <w:szCs w:val="22"/>
                <w:lang w:eastAsia="x-none"/>
              </w:rPr>
              <w:t>Only applicable to intra-band EN-DC, intra-band CA, FDM-based ULSUP (UL Sharing from UE Perspective)</w:t>
            </w:r>
          </w:p>
          <w:p w14:paraId="56D06112" w14:textId="174AD87E" w:rsidR="00541020" w:rsidRPr="00541020" w:rsidRDefault="00541020" w:rsidP="00541020">
            <w:pPr>
              <w:numPr>
                <w:ilvl w:val="1"/>
                <w:numId w:val="42"/>
              </w:numPr>
              <w:rPr>
                <w:sz w:val="22"/>
                <w:szCs w:val="22"/>
                <w:lang w:eastAsia="x-none"/>
              </w:rPr>
            </w:pPr>
            <w:r w:rsidRPr="00541020">
              <w:rPr>
                <w:sz w:val="22"/>
                <w:szCs w:val="22"/>
                <w:lang w:eastAsia="x-none"/>
              </w:rPr>
              <w:t xml:space="preserve">Note: Normal UE </w:t>
            </w:r>
            <w:r w:rsidR="002C2156" w:rsidRPr="00541020">
              <w:rPr>
                <w:sz w:val="22"/>
                <w:szCs w:val="22"/>
                <w:lang w:eastAsia="x-none"/>
              </w:rPr>
              <w:t>behavior</w:t>
            </w:r>
            <w:r w:rsidRPr="00541020">
              <w:rPr>
                <w:sz w:val="22"/>
                <w:szCs w:val="22"/>
                <w:lang w:eastAsia="x-none"/>
              </w:rPr>
              <w:t xml:space="preserve"> is assumed when the UE does not indicate the lack of this capability through the capability signalling or when the capability is not applicable</w:t>
            </w:r>
          </w:p>
          <w:p w14:paraId="1328C94E" w14:textId="77777777" w:rsidR="00541020" w:rsidRPr="00541020" w:rsidRDefault="00541020" w:rsidP="00541020">
            <w:pPr>
              <w:numPr>
                <w:ilvl w:val="0"/>
                <w:numId w:val="42"/>
              </w:numPr>
              <w:rPr>
                <w:sz w:val="22"/>
                <w:szCs w:val="22"/>
                <w:lang w:eastAsia="x-none"/>
              </w:rPr>
            </w:pPr>
            <w:r w:rsidRPr="00541020">
              <w:rPr>
                <w:sz w:val="22"/>
                <w:szCs w:val="22"/>
                <w:lang w:eastAsia="x-none"/>
              </w:rPr>
              <w:t>RAN4 to determine whether a UE that cannot handle such cases needs different performance requirements or whether these cases are treated as error cases.</w:t>
            </w:r>
          </w:p>
          <w:p w14:paraId="1EBF800B" w14:textId="77777777" w:rsidR="00541020" w:rsidRPr="00541020" w:rsidRDefault="00541020" w:rsidP="00541020">
            <w:pPr>
              <w:numPr>
                <w:ilvl w:val="0"/>
                <w:numId w:val="42"/>
              </w:numPr>
              <w:rPr>
                <w:sz w:val="22"/>
                <w:szCs w:val="22"/>
                <w:lang w:eastAsia="x-none"/>
              </w:rPr>
            </w:pPr>
            <w:r w:rsidRPr="00541020">
              <w:rPr>
                <w:sz w:val="22"/>
                <w:szCs w:val="22"/>
                <w:lang w:eastAsia="x-none"/>
              </w:rPr>
              <w:t>For intra-band EN-DC and FDM-based ULSUP, whether the capability is applicable also when NR is operated with different numerology than LTE should be determined in RAN4</w:t>
            </w:r>
          </w:p>
          <w:p w14:paraId="339FDD25" w14:textId="77777777" w:rsidR="00541020" w:rsidRPr="00541020" w:rsidRDefault="00541020" w:rsidP="00541020">
            <w:pPr>
              <w:numPr>
                <w:ilvl w:val="0"/>
                <w:numId w:val="42"/>
              </w:numPr>
              <w:rPr>
                <w:sz w:val="22"/>
                <w:szCs w:val="22"/>
                <w:lang w:eastAsia="x-none"/>
              </w:rPr>
            </w:pPr>
            <w:r w:rsidRPr="00541020">
              <w:rPr>
                <w:sz w:val="22"/>
                <w:szCs w:val="22"/>
                <w:lang w:eastAsia="x-none"/>
              </w:rPr>
              <w:t xml:space="preserve">RAN4 to determine in which bands, in which band-combinations (including in which bands in the band-combination) the capability is applicable </w:t>
            </w:r>
          </w:p>
          <w:p w14:paraId="023F3B19" w14:textId="6AE6022B" w:rsidR="002E2F2A" w:rsidRPr="00541020" w:rsidRDefault="00541020" w:rsidP="00541020">
            <w:pPr>
              <w:numPr>
                <w:ilvl w:val="1"/>
                <w:numId w:val="42"/>
              </w:numPr>
              <w:rPr>
                <w:lang w:eastAsia="x-none"/>
              </w:rPr>
            </w:pPr>
            <w:r w:rsidRPr="00541020">
              <w:rPr>
                <w:sz w:val="22"/>
                <w:szCs w:val="22"/>
                <w:lang w:eastAsia="x-none"/>
              </w:rPr>
              <w:t>Note: This is not intended to change other UE capabilities and minimum performance requirements related to the number of antennas and PAs as per the RAN4 requirements.</w:t>
            </w:r>
          </w:p>
        </w:tc>
      </w:tr>
    </w:tbl>
    <w:p w14:paraId="37CF777D" w14:textId="2513132F" w:rsidR="004207EE" w:rsidRPr="00B34FA1" w:rsidRDefault="004207EE" w:rsidP="00B34FA1">
      <w:pPr>
        <w:rPr>
          <w:rFonts w:eastAsia="MS Mincho"/>
          <w:sz w:val="22"/>
          <w:szCs w:val="22"/>
          <w:lang w:eastAsia="ja-JP"/>
        </w:rPr>
      </w:pPr>
    </w:p>
    <w:p w14:paraId="0701532A" w14:textId="7B5C5BA5" w:rsidR="00827761" w:rsidRDefault="00544824" w:rsidP="004A311F">
      <w:pPr>
        <w:rPr>
          <w:sz w:val="22"/>
        </w:rPr>
      </w:pPr>
      <w:r>
        <w:rPr>
          <w:sz w:val="22"/>
        </w:rPr>
        <w:t>In this contribution, we consider the following two cases.</w:t>
      </w:r>
    </w:p>
    <w:p w14:paraId="062A7C03" w14:textId="77777777" w:rsidR="00544824" w:rsidRDefault="00544824" w:rsidP="004A311F">
      <w:pPr>
        <w:rPr>
          <w:sz w:val="22"/>
        </w:rPr>
      </w:pPr>
    </w:p>
    <w:p w14:paraId="54A18B02" w14:textId="09080B24" w:rsidR="00BC2677" w:rsidRPr="00BC2677" w:rsidRDefault="00544824" w:rsidP="00544824">
      <w:pPr>
        <w:pStyle w:val="ListParagraph"/>
        <w:numPr>
          <w:ilvl w:val="0"/>
          <w:numId w:val="45"/>
        </w:numPr>
        <w:rPr>
          <w:rFonts w:ascii="Times New Roman" w:hAnsi="Times New Roman"/>
        </w:rPr>
      </w:pPr>
      <w:r w:rsidRPr="00BC2677">
        <w:rPr>
          <w:rFonts w:ascii="Times New Roman" w:hAnsi="Times New Roman"/>
        </w:rPr>
        <w:t>To determine the power scaling or UL transmission dropping, even though XdB is currently agree</w:t>
      </w:r>
      <w:r w:rsidR="001D1648">
        <w:rPr>
          <w:rFonts w:ascii="Times New Roman" w:hAnsi="Times New Roman"/>
        </w:rPr>
        <w:t>d</w:t>
      </w:r>
      <w:r w:rsidRPr="00BC2677">
        <w:rPr>
          <w:rFonts w:ascii="Times New Roman" w:hAnsi="Times New Roman"/>
        </w:rPr>
        <w:t xml:space="preserve"> in RAN. It is still beneficial to consider the </w:t>
      </w:r>
      <w:r w:rsidR="000168AE">
        <w:rPr>
          <w:rFonts w:ascii="Times New Roman" w:hAnsi="Times New Roman"/>
        </w:rPr>
        <w:t xml:space="preserve">different </w:t>
      </w:r>
      <w:r w:rsidRPr="00BC2677">
        <w:rPr>
          <w:rFonts w:ascii="Times New Roman" w:hAnsi="Times New Roman"/>
        </w:rPr>
        <w:t>performance requirement for different NR PHY channel, i.e. PUSCH, PUCCH and SRS and provi</w:t>
      </w:r>
      <w:r w:rsidR="00BC2677" w:rsidRPr="00BC2677">
        <w:rPr>
          <w:rFonts w:ascii="Times New Roman" w:hAnsi="Times New Roman"/>
        </w:rPr>
        <w:t>de further optimization to reduce interference to the system while maintain</w:t>
      </w:r>
      <w:r w:rsidR="00DE2A6E">
        <w:rPr>
          <w:rFonts w:ascii="Times New Roman" w:hAnsi="Times New Roman"/>
        </w:rPr>
        <w:t>ing</w:t>
      </w:r>
      <w:r w:rsidR="00BC2677" w:rsidRPr="00BC2677">
        <w:rPr>
          <w:rFonts w:ascii="Times New Roman" w:hAnsi="Times New Roman"/>
        </w:rPr>
        <w:t xml:space="preserve"> efficient and effective UL transmissions</w:t>
      </w:r>
    </w:p>
    <w:p w14:paraId="77049A00" w14:textId="18FADE5E" w:rsidR="00BC2677" w:rsidRPr="00BC2677" w:rsidRDefault="00BC2677" w:rsidP="00544824">
      <w:pPr>
        <w:pStyle w:val="ListParagraph"/>
        <w:numPr>
          <w:ilvl w:val="0"/>
          <w:numId w:val="45"/>
        </w:numPr>
        <w:rPr>
          <w:rFonts w:ascii="Times New Roman" w:hAnsi="Times New Roman"/>
        </w:rPr>
      </w:pPr>
      <w:r w:rsidRPr="00BC2677">
        <w:rPr>
          <w:rFonts w:ascii="Times New Roman" w:hAnsi="Times New Roman"/>
        </w:rPr>
        <w:lastRenderedPageBreak/>
        <w:t xml:space="preserve">The phase discontinuity can be caused by the PA operation point change. However, UE can still operate in a certain PA operation point with a wide range of out power. Therefore, it is also beneficial </w:t>
      </w:r>
      <w:r w:rsidR="005E3997">
        <w:rPr>
          <w:rFonts w:ascii="Times New Roman" w:hAnsi="Times New Roman"/>
        </w:rPr>
        <w:t>to</w:t>
      </w:r>
      <w:r w:rsidRPr="00BC2677">
        <w:rPr>
          <w:rFonts w:ascii="Times New Roman" w:hAnsi="Times New Roman"/>
        </w:rPr>
        <w:t xml:space="preserve"> allow UE to scale down NR transmit power as long as UE can maintain phase discontinuity and drop NR transmission only if it is necessary.</w:t>
      </w:r>
    </w:p>
    <w:p w14:paraId="7C7F5221" w14:textId="19D4D562" w:rsidR="009D267B" w:rsidRPr="00E53448" w:rsidRDefault="009D267B" w:rsidP="00467930">
      <w:pPr>
        <w:rPr>
          <w:rFonts w:eastAsia="SimSun"/>
          <w:b/>
          <w:i/>
          <w:sz w:val="22"/>
          <w:szCs w:val="22"/>
        </w:rPr>
      </w:pPr>
    </w:p>
    <w:p w14:paraId="7CC8AC4B" w14:textId="77777777" w:rsidR="00991ADE" w:rsidRDefault="00991ADE" w:rsidP="006F0C31">
      <w:pPr>
        <w:pStyle w:val="Heading1"/>
      </w:pPr>
      <w:r>
        <w:t>Power control with different LTE and NR processing time</w:t>
      </w:r>
    </w:p>
    <w:p w14:paraId="0258B7F7" w14:textId="32337748" w:rsidR="0026379A" w:rsidRDefault="00286401" w:rsidP="0026379A">
      <w:pPr>
        <w:rPr>
          <w:sz w:val="22"/>
        </w:rPr>
      </w:pPr>
      <w:r>
        <w:rPr>
          <w:sz w:val="22"/>
        </w:rPr>
        <w:t xml:space="preserve">As we discussed before, it is beneficial for both the UE and NW to </w:t>
      </w:r>
      <w:r w:rsidR="00967F33">
        <w:rPr>
          <w:sz w:val="22"/>
        </w:rPr>
        <w:t>still allow simultaneous NR and LTE UL transmission as long as power scaling of NR UL would not affect performance significantly</w:t>
      </w:r>
      <w:r>
        <w:rPr>
          <w:sz w:val="22"/>
        </w:rPr>
        <w:t>. This save</w:t>
      </w:r>
      <w:r w:rsidR="00562A71">
        <w:rPr>
          <w:sz w:val="22"/>
        </w:rPr>
        <w:t>s</w:t>
      </w:r>
      <w:r>
        <w:rPr>
          <w:sz w:val="22"/>
        </w:rPr>
        <w:t xml:space="preserve"> the UE power by allowing UE to finish its UL transmission sooner and allows more efficient use of NW resources without wasting the UL grant. However, the benefit of this only exist when UL transmission is useful, or not detrimental, after the power scaling. As an example, for PUCCH, if the power scaling is too </w:t>
      </w:r>
      <w:r w:rsidR="00151178">
        <w:rPr>
          <w:sz w:val="22"/>
        </w:rPr>
        <w:t>large</w:t>
      </w:r>
      <w:r>
        <w:rPr>
          <w:sz w:val="22"/>
        </w:rPr>
        <w:t xml:space="preserve">, the NW will not be able to decode PUCCH. </w:t>
      </w:r>
      <w:r w:rsidR="003D0FDB">
        <w:rPr>
          <w:sz w:val="22"/>
        </w:rPr>
        <w:t>Consequently</w:t>
      </w:r>
      <w:r>
        <w:rPr>
          <w:sz w:val="22"/>
        </w:rPr>
        <w:t xml:space="preserve">, it </w:t>
      </w:r>
      <w:r w:rsidR="00532A84">
        <w:rPr>
          <w:sz w:val="22"/>
        </w:rPr>
        <w:t xml:space="preserve">wastes </w:t>
      </w:r>
      <w:r>
        <w:rPr>
          <w:sz w:val="22"/>
        </w:rPr>
        <w:t xml:space="preserve">of UE transmit power, causes unnecessary interference to the system, and may cause PUCCH miss detection issue. </w:t>
      </w:r>
    </w:p>
    <w:p w14:paraId="396965B5" w14:textId="77777777" w:rsidR="00286401" w:rsidRDefault="00286401" w:rsidP="0026379A">
      <w:pPr>
        <w:rPr>
          <w:sz w:val="22"/>
        </w:rPr>
      </w:pPr>
    </w:p>
    <w:p w14:paraId="2D8C73F8" w14:textId="7283CF26" w:rsidR="00286401" w:rsidRDefault="00286401" w:rsidP="0026379A">
      <w:pPr>
        <w:rPr>
          <w:sz w:val="22"/>
        </w:rPr>
      </w:pPr>
      <w:r>
        <w:rPr>
          <w:sz w:val="22"/>
        </w:rPr>
        <w:t xml:space="preserve">It is very reasonable </w:t>
      </w:r>
      <w:r w:rsidR="002D634B">
        <w:rPr>
          <w:sz w:val="22"/>
        </w:rPr>
        <w:t xml:space="preserve">that </w:t>
      </w:r>
      <w:r>
        <w:rPr>
          <w:sz w:val="22"/>
        </w:rPr>
        <w:t xml:space="preserve">different </w:t>
      </w:r>
      <w:r w:rsidR="0085626F">
        <w:rPr>
          <w:sz w:val="22"/>
        </w:rPr>
        <w:t xml:space="preserve">NR UL </w:t>
      </w:r>
      <w:r>
        <w:rPr>
          <w:sz w:val="22"/>
        </w:rPr>
        <w:t>PHY channels have different reliability requirement for single transmission. We briefly discuss our view on the following UL PHY channels.</w:t>
      </w:r>
    </w:p>
    <w:p w14:paraId="28A4F3E3" w14:textId="77777777" w:rsidR="00286401" w:rsidRDefault="00286401" w:rsidP="0026379A">
      <w:pPr>
        <w:rPr>
          <w:sz w:val="22"/>
        </w:rPr>
      </w:pPr>
    </w:p>
    <w:p w14:paraId="1B6F90F8" w14:textId="3E2106A4" w:rsidR="00286401" w:rsidRPr="00B95D98" w:rsidRDefault="00286401" w:rsidP="00286401">
      <w:pPr>
        <w:pStyle w:val="ListParagraph"/>
        <w:numPr>
          <w:ilvl w:val="0"/>
          <w:numId w:val="46"/>
        </w:numPr>
        <w:rPr>
          <w:rFonts w:ascii="Times New Roman" w:hAnsi="Times New Roman"/>
        </w:rPr>
      </w:pPr>
      <w:r w:rsidRPr="00B95D98">
        <w:rPr>
          <w:rFonts w:ascii="Times New Roman" w:hAnsi="Times New Roman"/>
        </w:rPr>
        <w:t>PUSCH: this is the channel most resilience to the single transmission power scaling due to the HARQ Operation</w:t>
      </w:r>
    </w:p>
    <w:p w14:paraId="405CAB36" w14:textId="2AA012FA" w:rsidR="00286401" w:rsidRPr="00B95D98" w:rsidRDefault="00286401" w:rsidP="00286401">
      <w:pPr>
        <w:pStyle w:val="ListParagraph"/>
        <w:numPr>
          <w:ilvl w:val="0"/>
          <w:numId w:val="46"/>
        </w:numPr>
        <w:rPr>
          <w:rFonts w:ascii="Times New Roman" w:hAnsi="Times New Roman"/>
        </w:rPr>
      </w:pPr>
      <w:r w:rsidRPr="00B95D98">
        <w:rPr>
          <w:rFonts w:ascii="Times New Roman" w:hAnsi="Times New Roman"/>
        </w:rPr>
        <w:t xml:space="preserve">SRS: this is the channel which has some resilience to the single transmission power scaling especially when it is used for channel estimation, due to the fact that time domain filtering could be applied at the gNB. However, when SRS was used to compared beam quality, etc., changing the SRS beam could result in the wrong decision of which beam is the best. </w:t>
      </w:r>
    </w:p>
    <w:p w14:paraId="041CDA8D" w14:textId="2239E350" w:rsidR="00286401" w:rsidRPr="00B95D98" w:rsidRDefault="00286401" w:rsidP="00286401">
      <w:pPr>
        <w:pStyle w:val="ListParagraph"/>
        <w:numPr>
          <w:ilvl w:val="0"/>
          <w:numId w:val="46"/>
        </w:numPr>
        <w:rPr>
          <w:rFonts w:ascii="Times New Roman" w:hAnsi="Times New Roman"/>
        </w:rPr>
      </w:pPr>
      <w:r w:rsidRPr="00B95D98">
        <w:rPr>
          <w:rFonts w:ascii="Times New Roman" w:hAnsi="Times New Roman"/>
        </w:rPr>
        <w:t>PUCCH: PUCCH is a single shot PHY channel which does not benefit from time domain combining. Therefore, UE should not transmit PUCCH unless there is enough power to ensure reliable reception.</w:t>
      </w:r>
    </w:p>
    <w:p w14:paraId="3E469EFB" w14:textId="77777777" w:rsidR="00B95D98" w:rsidRPr="00B95D98" w:rsidRDefault="00B95D98" w:rsidP="00B95D98">
      <w:pPr>
        <w:rPr>
          <w:sz w:val="22"/>
          <w:szCs w:val="22"/>
        </w:rPr>
      </w:pPr>
    </w:p>
    <w:p w14:paraId="1AA96BA3" w14:textId="266DDCE8" w:rsidR="006E7F4F" w:rsidRDefault="002A1F9B" w:rsidP="0026379A">
      <w:pPr>
        <w:rPr>
          <w:sz w:val="22"/>
        </w:rPr>
      </w:pPr>
      <w:r>
        <w:rPr>
          <w:sz w:val="22"/>
        </w:rPr>
        <w:t>The conce</w:t>
      </w:r>
      <w:r w:rsidR="00193704">
        <w:rPr>
          <w:sz w:val="22"/>
        </w:rPr>
        <w:t>pt of applying different power scaling and dropping rules i</w:t>
      </w:r>
      <w:r>
        <w:rPr>
          <w:sz w:val="22"/>
        </w:rPr>
        <w:t xml:space="preserve">s illustrated in Figure 1. </w:t>
      </w:r>
      <w:r w:rsidR="00193704">
        <w:rPr>
          <w:sz w:val="22"/>
        </w:rPr>
        <w:t xml:space="preserve">More specifically, </w:t>
      </w:r>
      <w:r>
        <w:rPr>
          <w:sz w:val="22"/>
        </w:rPr>
        <w:t>independent threshold can be applied to PUSCH, PUCCH and SRS which allows the UE to drop PUSCH the least aggressively, drop the PUCCH the most aggressively</w:t>
      </w:r>
      <w:r w:rsidR="002E6612">
        <w:rPr>
          <w:sz w:val="22"/>
        </w:rPr>
        <w:t xml:space="preserve"> while SRS channel be have further optimized rules considering the different use case of SRS</w:t>
      </w:r>
      <w:r>
        <w:rPr>
          <w:sz w:val="22"/>
        </w:rPr>
        <w:t>.</w:t>
      </w:r>
    </w:p>
    <w:p w14:paraId="1F0B8CBA" w14:textId="77777777" w:rsidR="002A1F9B" w:rsidRDefault="002A1F9B" w:rsidP="0026379A">
      <w:pPr>
        <w:rPr>
          <w:sz w:val="22"/>
        </w:rPr>
      </w:pPr>
    </w:p>
    <w:p w14:paraId="15E8A7F0" w14:textId="569D899C" w:rsidR="00DF62E3" w:rsidRDefault="002A1F9B" w:rsidP="0026379A">
      <w:pPr>
        <w:rPr>
          <w:sz w:val="22"/>
        </w:rPr>
      </w:pPr>
      <w:r>
        <w:rPr>
          <w:sz w:val="22"/>
        </w:rPr>
        <w:t xml:space="preserve">We think a uniform threshold for all NR UL PHY channels can be an acceptable solution for Rel-15 NR due to time limitation with rooms for further optimization. Optimizing threshold for different channels can provide better trade off </w:t>
      </w:r>
      <w:r w:rsidR="005432AB">
        <w:rPr>
          <w:sz w:val="22"/>
        </w:rPr>
        <w:t>among</w:t>
      </w:r>
      <w:r w:rsidR="00B929B7">
        <w:rPr>
          <w:sz w:val="22"/>
        </w:rPr>
        <w:t xml:space="preserve"> various</w:t>
      </w:r>
      <w:r>
        <w:rPr>
          <w:sz w:val="22"/>
        </w:rPr>
        <w:t xml:space="preserve"> important performance metric, such as UE power consumption, NW resource utilization, system interference etc.</w:t>
      </w:r>
      <w:r w:rsidR="00DF62E3">
        <w:rPr>
          <w:sz w:val="22"/>
        </w:rPr>
        <w:t xml:space="preserve"> In summary, we propose</w:t>
      </w:r>
    </w:p>
    <w:p w14:paraId="48EB9F8E" w14:textId="77777777" w:rsidR="00DF62E3" w:rsidRDefault="00DF62E3" w:rsidP="0026379A">
      <w:pPr>
        <w:rPr>
          <w:sz w:val="22"/>
        </w:rPr>
      </w:pPr>
    </w:p>
    <w:p w14:paraId="192283E1" w14:textId="65F1F0A5" w:rsidR="002A1F9B" w:rsidRPr="00C42720" w:rsidRDefault="00DF62E3" w:rsidP="0026379A">
      <w:r>
        <w:rPr>
          <w:rFonts w:eastAsia="SimSun"/>
          <w:b/>
          <w:bCs/>
          <w:i/>
          <w:sz w:val="22"/>
          <w:szCs w:val="22"/>
          <w:u w:val="single"/>
        </w:rPr>
        <w:t>Proposal</w:t>
      </w:r>
      <w:r w:rsidRPr="0083483D">
        <w:rPr>
          <w:rFonts w:eastAsia="SimSun"/>
          <w:b/>
          <w:bCs/>
          <w:i/>
          <w:sz w:val="22"/>
          <w:szCs w:val="22"/>
          <w:u w:val="single"/>
        </w:rPr>
        <w:t xml:space="preserve"> </w:t>
      </w:r>
      <w:r w:rsidR="00C42720">
        <w:rPr>
          <w:rFonts w:eastAsia="SimSun"/>
          <w:b/>
          <w:bCs/>
          <w:i/>
          <w:sz w:val="22"/>
          <w:szCs w:val="22"/>
          <w:u w:val="single"/>
        </w:rPr>
        <w:t>1</w:t>
      </w:r>
      <w:r w:rsidRPr="00CD41CD">
        <w:rPr>
          <w:rFonts w:eastAsia="SimSun"/>
          <w:bCs/>
          <w:i/>
          <w:szCs w:val="22"/>
        </w:rPr>
        <w:t xml:space="preserve">: </w:t>
      </w:r>
      <w:r>
        <w:rPr>
          <w:rFonts w:eastAsia="SimSun"/>
          <w:b/>
          <w:i/>
          <w:sz w:val="22"/>
          <w:szCs w:val="22"/>
        </w:rPr>
        <w:t xml:space="preserve">Power scaling and dropping rules can be independently optimized for </w:t>
      </w:r>
      <w:r w:rsidR="00C613C5">
        <w:rPr>
          <w:rFonts w:eastAsia="SimSun"/>
          <w:b/>
          <w:i/>
          <w:sz w:val="22"/>
          <w:szCs w:val="22"/>
        </w:rPr>
        <w:t>different NR UL PHY channels, i.e. PUSCH, PUCCH and SRS</w:t>
      </w:r>
    </w:p>
    <w:p w14:paraId="06D17463" w14:textId="77777777" w:rsidR="002A1F9B" w:rsidRDefault="002A1F9B" w:rsidP="002A1F9B">
      <w:pPr>
        <w:keepNext/>
      </w:pPr>
      <w:r>
        <w:rPr>
          <w:noProof/>
          <w:sz w:val="22"/>
        </w:rPr>
        <w:drawing>
          <wp:inline distT="0" distB="0" distL="0" distR="0" wp14:anchorId="40408663" wp14:editId="3666203D">
            <wp:extent cx="6120765" cy="1686560"/>
            <wp:effectExtent l="0" t="0" r="63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09-26 at 10.16.39 AM.png"/>
                    <pic:cNvPicPr/>
                  </pic:nvPicPr>
                  <pic:blipFill>
                    <a:blip r:embed="rId8"/>
                    <a:stretch>
                      <a:fillRect/>
                    </a:stretch>
                  </pic:blipFill>
                  <pic:spPr>
                    <a:xfrm>
                      <a:off x="0" y="0"/>
                      <a:ext cx="6120765" cy="1686560"/>
                    </a:xfrm>
                    <a:prstGeom prst="rect">
                      <a:avLst/>
                    </a:prstGeom>
                  </pic:spPr>
                </pic:pic>
              </a:graphicData>
            </a:graphic>
          </wp:inline>
        </w:drawing>
      </w:r>
    </w:p>
    <w:p w14:paraId="7092FD11" w14:textId="18AE0628" w:rsidR="006E7F4F" w:rsidRPr="002A1F9B" w:rsidRDefault="002A1F9B" w:rsidP="002A1F9B">
      <w:pPr>
        <w:pStyle w:val="Caption"/>
        <w:rPr>
          <w:sz w:val="21"/>
        </w:rPr>
      </w:pPr>
      <w:r w:rsidRPr="002A1F9B">
        <w:rPr>
          <w:sz w:val="22"/>
        </w:rPr>
        <w:t xml:space="preserve">Figure </w:t>
      </w:r>
      <w:r w:rsidRPr="002A1F9B">
        <w:rPr>
          <w:sz w:val="22"/>
        </w:rPr>
        <w:fldChar w:fldCharType="begin"/>
      </w:r>
      <w:r w:rsidRPr="002A1F9B">
        <w:rPr>
          <w:sz w:val="22"/>
        </w:rPr>
        <w:instrText xml:space="preserve"> SEQ Figure \* ARABIC </w:instrText>
      </w:r>
      <w:r w:rsidRPr="002A1F9B">
        <w:rPr>
          <w:sz w:val="22"/>
        </w:rPr>
        <w:fldChar w:fldCharType="separate"/>
      </w:r>
      <w:r w:rsidR="00075AB6">
        <w:rPr>
          <w:noProof/>
          <w:sz w:val="22"/>
        </w:rPr>
        <w:t>1</w:t>
      </w:r>
      <w:r w:rsidRPr="002A1F9B">
        <w:rPr>
          <w:sz w:val="22"/>
        </w:rPr>
        <w:fldChar w:fldCharType="end"/>
      </w:r>
      <w:r w:rsidRPr="002A1F9B">
        <w:rPr>
          <w:sz w:val="22"/>
        </w:rPr>
        <w:t xml:space="preserve"> Different power scaling and dropping rule for different NR UL PHY channel</w:t>
      </w:r>
    </w:p>
    <w:p w14:paraId="52035F80" w14:textId="77777777" w:rsidR="006E7F4F" w:rsidRDefault="006E7F4F" w:rsidP="0026379A">
      <w:pPr>
        <w:rPr>
          <w:sz w:val="22"/>
        </w:rPr>
      </w:pPr>
    </w:p>
    <w:p w14:paraId="667381BF" w14:textId="77777777" w:rsidR="006E7F4F" w:rsidRDefault="006E7F4F" w:rsidP="0026379A">
      <w:pPr>
        <w:rPr>
          <w:sz w:val="22"/>
        </w:rPr>
      </w:pPr>
    </w:p>
    <w:p w14:paraId="18DBA88C" w14:textId="77777777" w:rsidR="00467392" w:rsidRDefault="00467392" w:rsidP="0026379A">
      <w:pPr>
        <w:rPr>
          <w:sz w:val="22"/>
        </w:rPr>
      </w:pPr>
    </w:p>
    <w:p w14:paraId="3D502A15" w14:textId="77777777" w:rsidR="0026379A" w:rsidRDefault="0026379A" w:rsidP="0026379A">
      <w:pPr>
        <w:rPr>
          <w:sz w:val="22"/>
        </w:rPr>
      </w:pPr>
    </w:p>
    <w:p w14:paraId="422CE1E3" w14:textId="77777777" w:rsidR="0026379A" w:rsidRDefault="0026379A" w:rsidP="0026379A">
      <w:pPr>
        <w:rPr>
          <w:sz w:val="22"/>
        </w:rPr>
      </w:pPr>
    </w:p>
    <w:p w14:paraId="6D9ACC5C" w14:textId="77777777" w:rsidR="005F4ED8" w:rsidRDefault="00C42720" w:rsidP="00C42720">
      <w:pPr>
        <w:pStyle w:val="Heading1"/>
      </w:pPr>
      <w:r>
        <w:t xml:space="preserve">Power control </w:t>
      </w:r>
      <w:r w:rsidR="005F4ED8">
        <w:t>to ensure phase continuity</w:t>
      </w:r>
    </w:p>
    <w:p w14:paraId="45820BF0" w14:textId="62312660" w:rsidR="005F4ED8" w:rsidRDefault="005F4ED8" w:rsidP="0001274F">
      <w:pPr>
        <w:rPr>
          <w:sz w:val="22"/>
        </w:rPr>
      </w:pPr>
      <w:r>
        <w:rPr>
          <w:sz w:val="22"/>
        </w:rPr>
        <w:t xml:space="preserve">NR and LTE UL transmission can overlap partially due to the flexible design of NR UL transmission. Compared to LTE UL transmission, NR UL allows more flexible starting symbol configuration, more </w:t>
      </w:r>
      <w:r w:rsidR="00521DA4">
        <w:rPr>
          <w:sz w:val="22"/>
        </w:rPr>
        <w:t>flexible</w:t>
      </w:r>
      <w:r w:rsidR="00BF64D6">
        <w:rPr>
          <w:sz w:val="22"/>
        </w:rPr>
        <w:t xml:space="preserve"> configurations</w:t>
      </w:r>
      <w:r>
        <w:rPr>
          <w:sz w:val="22"/>
        </w:rPr>
        <w:t xml:space="preserve"> of the transmission duration in symbols and potentially different frequency hopping pattern in time domain. This creates power change issue as illustrated in Figure 2</w:t>
      </w:r>
    </w:p>
    <w:p w14:paraId="63BD812E" w14:textId="77777777" w:rsidR="0032487D" w:rsidRDefault="0032487D" w:rsidP="0032487D">
      <w:pPr>
        <w:keepNext/>
        <w:jc w:val="center"/>
      </w:pPr>
      <w:r>
        <w:rPr>
          <w:noProof/>
          <w:sz w:val="22"/>
        </w:rPr>
        <w:drawing>
          <wp:inline distT="0" distB="0" distL="0" distR="0" wp14:anchorId="5FE79A24" wp14:editId="553DFCAA">
            <wp:extent cx="4483100" cy="218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8-09-26 at 10.27.03 AM.png"/>
                    <pic:cNvPicPr/>
                  </pic:nvPicPr>
                  <pic:blipFill>
                    <a:blip r:embed="rId9"/>
                    <a:stretch>
                      <a:fillRect/>
                    </a:stretch>
                  </pic:blipFill>
                  <pic:spPr>
                    <a:xfrm>
                      <a:off x="0" y="0"/>
                      <a:ext cx="4483100" cy="2184400"/>
                    </a:xfrm>
                    <a:prstGeom prst="rect">
                      <a:avLst/>
                    </a:prstGeom>
                  </pic:spPr>
                </pic:pic>
              </a:graphicData>
            </a:graphic>
          </wp:inline>
        </w:drawing>
      </w:r>
    </w:p>
    <w:p w14:paraId="05D58509" w14:textId="1444E93F" w:rsidR="005F4ED8" w:rsidRPr="00075AB6" w:rsidRDefault="0032487D" w:rsidP="0032487D">
      <w:pPr>
        <w:pStyle w:val="Caption"/>
        <w:rPr>
          <w:sz w:val="21"/>
        </w:rPr>
      </w:pPr>
      <w:r w:rsidRPr="00075AB6">
        <w:rPr>
          <w:sz w:val="22"/>
        </w:rPr>
        <w:t xml:space="preserve">Figure </w:t>
      </w:r>
      <w:r w:rsidRPr="00075AB6">
        <w:rPr>
          <w:sz w:val="22"/>
        </w:rPr>
        <w:fldChar w:fldCharType="begin"/>
      </w:r>
      <w:r w:rsidRPr="00075AB6">
        <w:rPr>
          <w:sz w:val="22"/>
        </w:rPr>
        <w:instrText xml:space="preserve"> SEQ Figure \* ARABIC </w:instrText>
      </w:r>
      <w:r w:rsidRPr="00075AB6">
        <w:rPr>
          <w:sz w:val="22"/>
        </w:rPr>
        <w:fldChar w:fldCharType="separate"/>
      </w:r>
      <w:r w:rsidR="00075AB6" w:rsidRPr="00075AB6">
        <w:rPr>
          <w:noProof/>
          <w:sz w:val="22"/>
        </w:rPr>
        <w:t>2</w:t>
      </w:r>
      <w:r w:rsidRPr="00075AB6">
        <w:rPr>
          <w:sz w:val="22"/>
        </w:rPr>
        <w:fldChar w:fldCharType="end"/>
      </w:r>
      <w:r w:rsidRPr="00075AB6">
        <w:rPr>
          <w:sz w:val="22"/>
        </w:rPr>
        <w:t xml:space="preserve"> Phase Discontinuity Issue for Partially overlapping NR and LTE UL transmissions </w:t>
      </w:r>
    </w:p>
    <w:p w14:paraId="5951FD47" w14:textId="3F704048" w:rsidR="00075AB6" w:rsidRDefault="0032487D" w:rsidP="0001274F">
      <w:pPr>
        <w:rPr>
          <w:sz w:val="22"/>
        </w:rPr>
      </w:pPr>
      <w:r>
        <w:rPr>
          <w:sz w:val="22"/>
        </w:rPr>
        <w:t xml:space="preserve">Our understanding is that phase discontinuity is </w:t>
      </w:r>
      <w:r w:rsidR="00521DA4">
        <w:rPr>
          <w:sz w:val="22"/>
        </w:rPr>
        <w:t xml:space="preserve">partly </w:t>
      </w:r>
      <w:r>
        <w:rPr>
          <w:sz w:val="22"/>
        </w:rPr>
        <w:t xml:space="preserve">caused by PA gain stage change due to PA output power change. Depends on the UE PA implementation and optimization, </w:t>
      </w:r>
      <w:r w:rsidR="00F170EA">
        <w:rPr>
          <w:sz w:val="22"/>
        </w:rPr>
        <w:t xml:space="preserve">it is still possible for </w:t>
      </w:r>
      <w:r w:rsidR="00075AB6">
        <w:rPr>
          <w:sz w:val="22"/>
        </w:rPr>
        <w:t xml:space="preserve">UE </w:t>
      </w:r>
      <w:r w:rsidR="00F170EA">
        <w:rPr>
          <w:sz w:val="22"/>
        </w:rPr>
        <w:t xml:space="preserve">to </w:t>
      </w:r>
      <w:r w:rsidR="00B24A9A">
        <w:rPr>
          <w:sz w:val="22"/>
        </w:rPr>
        <w:t>adjust</w:t>
      </w:r>
      <w:r w:rsidR="00075AB6">
        <w:rPr>
          <w:sz w:val="22"/>
        </w:rPr>
        <w:t xml:space="preserve"> NR transmit power in order </w:t>
      </w:r>
      <w:r w:rsidR="00EF591D">
        <w:rPr>
          <w:sz w:val="22"/>
        </w:rPr>
        <w:t xml:space="preserve">to </w:t>
      </w:r>
      <w:r w:rsidR="00075AB6">
        <w:rPr>
          <w:sz w:val="22"/>
        </w:rPr>
        <w:t>ensure phase continuity with still acceptable UL performance in certain cases. We illustrate this concept in Figure 3</w:t>
      </w:r>
    </w:p>
    <w:p w14:paraId="34D4382B" w14:textId="77777777" w:rsidR="00075AB6" w:rsidRDefault="00075AB6" w:rsidP="00075AB6">
      <w:pPr>
        <w:keepNext/>
        <w:jc w:val="center"/>
      </w:pPr>
      <w:r>
        <w:rPr>
          <w:noProof/>
          <w:sz w:val="22"/>
        </w:rPr>
        <w:drawing>
          <wp:inline distT="0" distB="0" distL="0" distR="0" wp14:anchorId="424BDF15" wp14:editId="4430EDEB">
            <wp:extent cx="4470400" cy="210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8-09-26 at 10.33.36 AM.png"/>
                    <pic:cNvPicPr/>
                  </pic:nvPicPr>
                  <pic:blipFill>
                    <a:blip r:embed="rId10"/>
                    <a:stretch>
                      <a:fillRect/>
                    </a:stretch>
                  </pic:blipFill>
                  <pic:spPr>
                    <a:xfrm>
                      <a:off x="0" y="0"/>
                      <a:ext cx="4470400" cy="2108200"/>
                    </a:xfrm>
                    <a:prstGeom prst="rect">
                      <a:avLst/>
                    </a:prstGeom>
                  </pic:spPr>
                </pic:pic>
              </a:graphicData>
            </a:graphic>
          </wp:inline>
        </w:drawing>
      </w:r>
    </w:p>
    <w:p w14:paraId="57E9519E" w14:textId="4AFB2533" w:rsidR="00075AB6" w:rsidRPr="00075AB6" w:rsidRDefault="00075AB6" w:rsidP="00075AB6">
      <w:pPr>
        <w:pStyle w:val="Caption"/>
        <w:rPr>
          <w:sz w:val="22"/>
        </w:rPr>
      </w:pPr>
      <w:r w:rsidRPr="00075AB6">
        <w:rPr>
          <w:sz w:val="22"/>
        </w:rPr>
        <w:t xml:space="preserve">Figure </w:t>
      </w:r>
      <w:r w:rsidRPr="00075AB6">
        <w:rPr>
          <w:sz w:val="22"/>
        </w:rPr>
        <w:fldChar w:fldCharType="begin"/>
      </w:r>
      <w:r w:rsidRPr="00075AB6">
        <w:rPr>
          <w:sz w:val="22"/>
        </w:rPr>
        <w:instrText xml:space="preserve"> SEQ Figure \* ARABIC </w:instrText>
      </w:r>
      <w:r w:rsidRPr="00075AB6">
        <w:rPr>
          <w:sz w:val="22"/>
        </w:rPr>
        <w:fldChar w:fldCharType="separate"/>
      </w:r>
      <w:r w:rsidRPr="00075AB6">
        <w:rPr>
          <w:noProof/>
          <w:sz w:val="22"/>
        </w:rPr>
        <w:t>3</w:t>
      </w:r>
      <w:r w:rsidRPr="00075AB6">
        <w:rPr>
          <w:sz w:val="22"/>
        </w:rPr>
        <w:fldChar w:fldCharType="end"/>
      </w:r>
      <w:r w:rsidRPr="00075AB6">
        <w:rPr>
          <w:sz w:val="22"/>
        </w:rPr>
        <w:t xml:space="preserve"> Simultaneous NR and LTE UL </w:t>
      </w:r>
      <w:r>
        <w:rPr>
          <w:sz w:val="22"/>
        </w:rPr>
        <w:t>T</w:t>
      </w:r>
      <w:r w:rsidRPr="00075AB6">
        <w:rPr>
          <w:sz w:val="22"/>
        </w:rPr>
        <w:t xml:space="preserve">ransmission by </w:t>
      </w:r>
      <w:r>
        <w:rPr>
          <w:sz w:val="22"/>
        </w:rPr>
        <w:t>P</w:t>
      </w:r>
      <w:r w:rsidRPr="00075AB6">
        <w:rPr>
          <w:sz w:val="22"/>
        </w:rPr>
        <w:t xml:space="preserve">ower </w:t>
      </w:r>
      <w:r>
        <w:rPr>
          <w:sz w:val="22"/>
        </w:rPr>
        <w:t>S</w:t>
      </w:r>
      <w:r w:rsidRPr="00075AB6">
        <w:rPr>
          <w:sz w:val="22"/>
        </w:rPr>
        <w:t xml:space="preserve">caling to </w:t>
      </w:r>
      <w:r>
        <w:rPr>
          <w:sz w:val="22"/>
        </w:rPr>
        <w:t>E</w:t>
      </w:r>
      <w:r w:rsidRPr="00075AB6">
        <w:rPr>
          <w:sz w:val="22"/>
        </w:rPr>
        <w:t>nsure Phase Continuity</w:t>
      </w:r>
    </w:p>
    <w:p w14:paraId="50BC7928" w14:textId="77777777" w:rsidR="00075AB6" w:rsidRDefault="00075AB6" w:rsidP="00075AB6">
      <w:pPr>
        <w:rPr>
          <w:sz w:val="22"/>
        </w:rPr>
      </w:pPr>
      <w:r>
        <w:rPr>
          <w:sz w:val="22"/>
        </w:rPr>
        <w:t>In summary, we propose</w:t>
      </w:r>
    </w:p>
    <w:p w14:paraId="6980CB32" w14:textId="77777777" w:rsidR="00075AB6" w:rsidRDefault="00075AB6" w:rsidP="00075AB6">
      <w:pPr>
        <w:rPr>
          <w:sz w:val="22"/>
        </w:rPr>
      </w:pPr>
    </w:p>
    <w:p w14:paraId="3E2E16FD" w14:textId="34D513A1" w:rsidR="00ED01F1" w:rsidRDefault="00075AB6" w:rsidP="00075AB6">
      <w:pPr>
        <w:rPr>
          <w:sz w:val="22"/>
          <w:szCs w:val="22"/>
        </w:rPr>
      </w:pPr>
      <w:r>
        <w:rPr>
          <w:rFonts w:eastAsia="SimSun"/>
          <w:b/>
          <w:bCs/>
          <w:i/>
          <w:sz w:val="22"/>
          <w:szCs w:val="22"/>
          <w:u w:val="single"/>
        </w:rPr>
        <w:t>Proposal</w:t>
      </w:r>
      <w:r w:rsidRPr="0083483D">
        <w:rPr>
          <w:rFonts w:eastAsia="SimSun"/>
          <w:b/>
          <w:bCs/>
          <w:i/>
          <w:sz w:val="22"/>
          <w:szCs w:val="22"/>
          <w:u w:val="single"/>
        </w:rPr>
        <w:t xml:space="preserve"> </w:t>
      </w:r>
      <w:r w:rsidR="001426A2">
        <w:rPr>
          <w:rFonts w:eastAsia="SimSun"/>
          <w:b/>
          <w:bCs/>
          <w:i/>
          <w:sz w:val="22"/>
          <w:szCs w:val="22"/>
          <w:u w:val="single"/>
        </w:rPr>
        <w:t>2</w:t>
      </w:r>
      <w:r w:rsidRPr="00CD41CD">
        <w:rPr>
          <w:rFonts w:eastAsia="SimSun"/>
          <w:bCs/>
          <w:i/>
          <w:szCs w:val="22"/>
        </w:rPr>
        <w:t xml:space="preserve">: </w:t>
      </w:r>
      <w:r>
        <w:rPr>
          <w:rFonts w:eastAsia="SimSun"/>
          <w:b/>
          <w:i/>
          <w:sz w:val="22"/>
          <w:szCs w:val="22"/>
        </w:rPr>
        <w:t xml:space="preserve">To ensure phase continuity, UE is allowed to scale down NR transmission power while perform simultaneous </w:t>
      </w:r>
      <w:r w:rsidR="002027E2">
        <w:rPr>
          <w:rFonts w:eastAsia="SimSun"/>
          <w:b/>
          <w:i/>
          <w:sz w:val="22"/>
          <w:szCs w:val="22"/>
        </w:rPr>
        <w:t>LTE and NR</w:t>
      </w:r>
      <w:r w:rsidR="002F4F23">
        <w:rPr>
          <w:rFonts w:eastAsia="SimSun"/>
          <w:b/>
          <w:i/>
          <w:sz w:val="22"/>
          <w:szCs w:val="22"/>
        </w:rPr>
        <w:t xml:space="preserve"> </w:t>
      </w:r>
      <w:r>
        <w:rPr>
          <w:rFonts w:eastAsia="SimSun"/>
          <w:b/>
          <w:i/>
          <w:sz w:val="22"/>
          <w:szCs w:val="22"/>
        </w:rPr>
        <w:t xml:space="preserve">UL transmission. </w:t>
      </w:r>
      <w:r w:rsidR="00DA15B5">
        <w:rPr>
          <w:rFonts w:eastAsia="SimSun"/>
          <w:b/>
          <w:i/>
          <w:sz w:val="22"/>
          <w:szCs w:val="22"/>
        </w:rPr>
        <w:t>P</w:t>
      </w:r>
      <w:r>
        <w:rPr>
          <w:rFonts w:eastAsia="SimSun"/>
          <w:b/>
          <w:i/>
          <w:sz w:val="22"/>
          <w:szCs w:val="22"/>
        </w:rPr>
        <w:t>ower scaling and dropping rule can be further discussed.</w:t>
      </w:r>
    </w:p>
    <w:p w14:paraId="3A56AA87" w14:textId="4713BEC5" w:rsidR="00C66E63" w:rsidRDefault="002175DB" w:rsidP="00C66E63">
      <w:r>
        <w:t xml:space="preserve"> </w:t>
      </w:r>
      <w:r w:rsidR="00365B20">
        <w:t xml:space="preserve"> </w:t>
      </w:r>
      <w:r w:rsidR="008B70F0">
        <w:t xml:space="preserve"> </w:t>
      </w:r>
    </w:p>
    <w:p w14:paraId="2896E657" w14:textId="2DF29AD0" w:rsidR="00854A60" w:rsidRPr="00FB330B" w:rsidRDefault="009C5A97" w:rsidP="00FB330B">
      <w:pPr>
        <w:pStyle w:val="Heading1"/>
      </w:pPr>
      <w:r w:rsidRPr="00FB330B">
        <w:t>Conclusion</w:t>
      </w:r>
    </w:p>
    <w:p w14:paraId="0B4AC7F6" w14:textId="77777777" w:rsidR="00075AB6" w:rsidRDefault="00F43354" w:rsidP="00F43354">
      <w:pPr>
        <w:jc w:val="both"/>
        <w:rPr>
          <w:rFonts w:eastAsia="MS Mincho"/>
          <w:sz w:val="22"/>
          <w:szCs w:val="22"/>
          <w:lang w:eastAsia="ja-JP"/>
        </w:rPr>
      </w:pPr>
      <w:r>
        <w:rPr>
          <w:rFonts w:eastAsia="MS Mincho"/>
          <w:sz w:val="22"/>
          <w:szCs w:val="22"/>
          <w:lang w:eastAsia="ja-JP"/>
        </w:rPr>
        <w:t xml:space="preserve">In this contribution, </w:t>
      </w:r>
      <w:r w:rsidR="00075AB6">
        <w:rPr>
          <w:rFonts w:eastAsia="MS Mincho"/>
          <w:sz w:val="22"/>
          <w:szCs w:val="22"/>
          <w:lang w:eastAsia="ja-JP"/>
        </w:rPr>
        <w:t>we discuss the EN-DC power control issue in the following two aspects</w:t>
      </w:r>
    </w:p>
    <w:p w14:paraId="3AB74ACA" w14:textId="77777777" w:rsidR="00F43354" w:rsidRDefault="00F43354" w:rsidP="00F43354">
      <w:pPr>
        <w:jc w:val="both"/>
        <w:rPr>
          <w:rFonts w:eastAsia="MS Mincho"/>
          <w:sz w:val="22"/>
          <w:szCs w:val="22"/>
          <w:lang w:eastAsia="ja-JP"/>
        </w:rPr>
      </w:pPr>
    </w:p>
    <w:p w14:paraId="155FD252" w14:textId="77777777" w:rsidR="00075AB6" w:rsidRDefault="00075AB6" w:rsidP="00F43354">
      <w:pPr>
        <w:pStyle w:val="ListParagraph"/>
        <w:numPr>
          <w:ilvl w:val="0"/>
          <w:numId w:val="36"/>
        </w:numPr>
        <w:jc w:val="both"/>
        <w:rPr>
          <w:rFonts w:ascii="Times New Roman" w:eastAsia="MS Mincho" w:hAnsi="Times New Roman"/>
          <w:lang w:eastAsia="ja-JP"/>
        </w:rPr>
      </w:pPr>
      <w:r>
        <w:rPr>
          <w:rFonts w:ascii="Times New Roman" w:eastAsia="MS Mincho" w:hAnsi="Times New Roman"/>
          <w:lang w:eastAsia="ja-JP"/>
        </w:rPr>
        <w:t>LTE and NR joint power control to meet all RF requirement (per RAT maximum power limit, joint EN-DC power limit, power class limit, and IMD impairment limit), considering the different reliability requirement of different NR UL PHY channels.</w:t>
      </w:r>
    </w:p>
    <w:p w14:paraId="098075DE" w14:textId="77777777" w:rsidR="00075AB6" w:rsidRDefault="00075AB6" w:rsidP="00F43354">
      <w:pPr>
        <w:pStyle w:val="ListParagraph"/>
        <w:numPr>
          <w:ilvl w:val="0"/>
          <w:numId w:val="36"/>
        </w:numPr>
        <w:jc w:val="both"/>
        <w:rPr>
          <w:rFonts w:ascii="Times New Roman" w:eastAsia="MS Mincho" w:hAnsi="Times New Roman"/>
          <w:lang w:eastAsia="ja-JP"/>
        </w:rPr>
      </w:pPr>
      <w:r>
        <w:rPr>
          <w:rFonts w:ascii="Times New Roman" w:eastAsia="MS Mincho" w:hAnsi="Times New Roman"/>
          <w:lang w:eastAsia="ja-JP"/>
        </w:rPr>
        <w:t>LTE and NR joint power control to ensure phase continuity for partially over-lapping LTE and NR UL transmissions</w:t>
      </w:r>
    </w:p>
    <w:p w14:paraId="31745016" w14:textId="77777777" w:rsidR="00E32950" w:rsidRDefault="00E32950" w:rsidP="000A1967">
      <w:pPr>
        <w:rPr>
          <w:rFonts w:eastAsia="MS Mincho"/>
          <w:sz w:val="22"/>
          <w:szCs w:val="22"/>
          <w:lang w:eastAsia="ja-JP"/>
        </w:rPr>
      </w:pPr>
    </w:p>
    <w:p w14:paraId="56311B75" w14:textId="612D173D" w:rsidR="00E32950" w:rsidRDefault="003031F8" w:rsidP="000A1967">
      <w:pPr>
        <w:rPr>
          <w:rFonts w:eastAsia="MS Mincho"/>
          <w:sz w:val="22"/>
          <w:szCs w:val="22"/>
          <w:lang w:eastAsia="ja-JP"/>
        </w:rPr>
      </w:pPr>
      <w:r>
        <w:rPr>
          <w:rFonts w:eastAsia="MS Mincho"/>
          <w:sz w:val="22"/>
          <w:szCs w:val="22"/>
          <w:lang w:eastAsia="ja-JP"/>
        </w:rPr>
        <w:t xml:space="preserve">We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sals</w:t>
      </w:r>
    </w:p>
    <w:p w14:paraId="2B40B6EF" w14:textId="77777777" w:rsidR="00EC2CE4" w:rsidRDefault="00EC2CE4" w:rsidP="00854A60">
      <w:pPr>
        <w:rPr>
          <w:sz w:val="20"/>
          <w:szCs w:val="20"/>
        </w:rPr>
      </w:pPr>
    </w:p>
    <w:p w14:paraId="4ACC4D10" w14:textId="53D03142" w:rsidR="00C42720" w:rsidRPr="00C42720" w:rsidRDefault="00C42720" w:rsidP="00C42720">
      <w:r>
        <w:rPr>
          <w:rFonts w:eastAsia="SimSun"/>
          <w:b/>
          <w:bCs/>
          <w:i/>
          <w:sz w:val="22"/>
          <w:szCs w:val="22"/>
          <w:u w:val="single"/>
        </w:rPr>
        <w:t>Proposal</w:t>
      </w:r>
      <w:r w:rsidRPr="0083483D">
        <w:rPr>
          <w:rFonts w:eastAsia="SimSun"/>
          <w:b/>
          <w:bCs/>
          <w:i/>
          <w:sz w:val="22"/>
          <w:szCs w:val="22"/>
          <w:u w:val="single"/>
        </w:rPr>
        <w:t xml:space="preserve"> </w:t>
      </w:r>
      <w:r>
        <w:rPr>
          <w:rFonts w:eastAsia="SimSun"/>
          <w:b/>
          <w:bCs/>
          <w:i/>
          <w:sz w:val="22"/>
          <w:szCs w:val="22"/>
          <w:u w:val="single"/>
        </w:rPr>
        <w:t>1</w:t>
      </w:r>
      <w:r w:rsidRPr="00CD41CD">
        <w:rPr>
          <w:rFonts w:eastAsia="SimSun"/>
          <w:bCs/>
          <w:i/>
          <w:szCs w:val="22"/>
        </w:rPr>
        <w:t xml:space="preserve">: </w:t>
      </w:r>
      <w:r>
        <w:rPr>
          <w:rFonts w:eastAsia="SimSun"/>
          <w:b/>
          <w:i/>
          <w:sz w:val="22"/>
          <w:szCs w:val="22"/>
        </w:rPr>
        <w:t>Power scaling and dropping rules can be independently optimized for different NR UL PHY channels, i.e. PUSCH, PUCCH and SRS</w:t>
      </w:r>
    </w:p>
    <w:p w14:paraId="7F5ECFA8" w14:textId="77777777" w:rsidR="00075AB6" w:rsidRDefault="00075AB6" w:rsidP="00075AB6">
      <w:pPr>
        <w:rPr>
          <w:rFonts w:eastAsia="SimSun"/>
          <w:b/>
          <w:bCs/>
          <w:i/>
          <w:sz w:val="22"/>
          <w:szCs w:val="22"/>
          <w:u w:val="single"/>
        </w:rPr>
      </w:pPr>
    </w:p>
    <w:p w14:paraId="173BBD97" w14:textId="77777777" w:rsidR="00FE3B6F" w:rsidRDefault="00FE3B6F" w:rsidP="00FE3B6F">
      <w:pPr>
        <w:rPr>
          <w:sz w:val="22"/>
          <w:szCs w:val="22"/>
        </w:rPr>
      </w:pPr>
      <w:r>
        <w:rPr>
          <w:rFonts w:eastAsia="SimSun"/>
          <w:b/>
          <w:bCs/>
          <w:i/>
          <w:sz w:val="22"/>
          <w:szCs w:val="22"/>
          <w:u w:val="single"/>
        </w:rPr>
        <w:t>Proposal</w:t>
      </w:r>
      <w:r w:rsidRPr="0083483D">
        <w:rPr>
          <w:rFonts w:eastAsia="SimSun"/>
          <w:b/>
          <w:bCs/>
          <w:i/>
          <w:sz w:val="22"/>
          <w:szCs w:val="22"/>
          <w:u w:val="single"/>
        </w:rPr>
        <w:t xml:space="preserve"> </w:t>
      </w:r>
      <w:r>
        <w:rPr>
          <w:rFonts w:eastAsia="SimSun"/>
          <w:b/>
          <w:bCs/>
          <w:i/>
          <w:sz w:val="22"/>
          <w:szCs w:val="22"/>
          <w:u w:val="single"/>
        </w:rPr>
        <w:t>2</w:t>
      </w:r>
      <w:r w:rsidRPr="00CD41CD">
        <w:rPr>
          <w:rFonts w:eastAsia="SimSun"/>
          <w:bCs/>
          <w:i/>
          <w:szCs w:val="22"/>
        </w:rPr>
        <w:t xml:space="preserve">: </w:t>
      </w:r>
      <w:r>
        <w:rPr>
          <w:rFonts w:eastAsia="SimSun"/>
          <w:b/>
          <w:i/>
          <w:sz w:val="22"/>
          <w:szCs w:val="22"/>
        </w:rPr>
        <w:t>To ensure phase continuity, UE is allowed to scale down NR transmission power while perform simultaneous LTE and NR UL transmission. Power scaling and dropping rule can be further discussed.</w:t>
      </w:r>
    </w:p>
    <w:p w14:paraId="2E75F001" w14:textId="77777777" w:rsidR="007E70BB" w:rsidRPr="007E70BB" w:rsidRDefault="005C63AE" w:rsidP="007E70BB">
      <w:pPr>
        <w:pStyle w:val="Heading1"/>
      </w:pPr>
      <w:r>
        <w:t>References</w:t>
      </w:r>
    </w:p>
    <w:p w14:paraId="06BA6A06" w14:textId="31A27A7B" w:rsidR="00722042" w:rsidRDefault="00925110" w:rsidP="0004137F">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925110">
        <w:rPr>
          <w:sz w:val="22"/>
          <w:szCs w:val="22"/>
        </w:rPr>
        <w:t>RP-18</w:t>
      </w:r>
      <w:r w:rsidR="00722042">
        <w:rPr>
          <w:sz w:val="22"/>
          <w:szCs w:val="22"/>
        </w:rPr>
        <w:t>0679</w:t>
      </w:r>
      <w:r>
        <w:rPr>
          <w:sz w:val="22"/>
          <w:szCs w:val="22"/>
        </w:rPr>
        <w:t>, “</w:t>
      </w:r>
      <w:r w:rsidR="00722042" w:rsidRPr="00722042">
        <w:rPr>
          <w:sz w:val="22"/>
          <w:szCs w:val="22"/>
        </w:rPr>
        <w:t>Discrepancy between RAN1 and RAN4 power</w:t>
      </w:r>
      <w:r w:rsidR="00722042">
        <w:rPr>
          <w:sz w:val="22"/>
          <w:szCs w:val="22"/>
        </w:rPr>
        <w:t xml:space="preserve"> </w:t>
      </w:r>
      <w:r w:rsidR="00722042" w:rsidRPr="00722042">
        <w:rPr>
          <w:sz w:val="22"/>
          <w:szCs w:val="22"/>
        </w:rPr>
        <w:t>control decisions”</w:t>
      </w:r>
      <w:r w:rsidR="00722042">
        <w:rPr>
          <w:sz w:val="22"/>
          <w:szCs w:val="22"/>
        </w:rPr>
        <w:t xml:space="preserve">, </w:t>
      </w:r>
      <w:r w:rsidR="00722042" w:rsidRPr="00722042">
        <w:rPr>
          <w:sz w:val="22"/>
          <w:szCs w:val="22"/>
        </w:rPr>
        <w:t>3GPP RAN #80</w:t>
      </w:r>
      <w:r w:rsidR="00722042">
        <w:rPr>
          <w:sz w:val="22"/>
          <w:szCs w:val="22"/>
        </w:rPr>
        <w:t xml:space="preserve"> </w:t>
      </w:r>
      <w:r w:rsidR="00722042" w:rsidRPr="00722042">
        <w:rPr>
          <w:sz w:val="22"/>
          <w:szCs w:val="22"/>
        </w:rPr>
        <w:t>June 11-14, 2018, La Jolla, CA, U.S.A.</w:t>
      </w:r>
    </w:p>
    <w:p w14:paraId="577FF4D8" w14:textId="0FBAE9DC" w:rsidR="001D5702" w:rsidRDefault="00827B85" w:rsidP="001D570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Chairman N</w:t>
      </w:r>
      <w:r w:rsidR="0004137F" w:rsidRPr="001D5702">
        <w:rPr>
          <w:sz w:val="22"/>
          <w:szCs w:val="22"/>
        </w:rPr>
        <w:t>otes, RAN1 #90, Prague, Czech Republic, 21-25 August 2017</w:t>
      </w:r>
    </w:p>
    <w:p w14:paraId="434453AB" w14:textId="62E0E18D" w:rsidR="001D5702" w:rsidRPr="001D5702" w:rsidRDefault="001D5702" w:rsidP="001D570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1D5702">
        <w:rPr>
          <w:sz w:val="22"/>
          <w:szCs w:val="22"/>
        </w:rPr>
        <w:t>RP-182034, “Way forward on inter-band EN-DC UL power control”, 3GPP TSG RAN #81Gold Coast, Australia, September 10 - 13, 2018</w:t>
      </w:r>
    </w:p>
    <w:p w14:paraId="1BC761A9" w14:textId="70EC69F3" w:rsidR="001D5702" w:rsidRPr="001D5702" w:rsidRDefault="00827B85" w:rsidP="001D570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Chairman</w:t>
      </w:r>
      <w:r w:rsidR="001D5702">
        <w:rPr>
          <w:sz w:val="22"/>
          <w:szCs w:val="22"/>
        </w:rPr>
        <w:t xml:space="preserve"> Note</w:t>
      </w:r>
      <w:r>
        <w:rPr>
          <w:sz w:val="22"/>
          <w:szCs w:val="22"/>
        </w:rPr>
        <w:t>s</w:t>
      </w:r>
      <w:r w:rsidR="001D5702">
        <w:rPr>
          <w:sz w:val="22"/>
          <w:szCs w:val="22"/>
        </w:rPr>
        <w:t xml:space="preserve">, </w:t>
      </w:r>
      <w:r w:rsidR="001D5702" w:rsidRPr="001D5702">
        <w:rPr>
          <w:sz w:val="22"/>
          <w:szCs w:val="22"/>
        </w:rPr>
        <w:t>3GPP TSG RAN WG1 #94</w:t>
      </w:r>
      <w:r w:rsidR="001D5702">
        <w:rPr>
          <w:sz w:val="22"/>
          <w:szCs w:val="22"/>
        </w:rPr>
        <w:t xml:space="preserve"> </w:t>
      </w:r>
      <w:r w:rsidR="001D5702" w:rsidRPr="001D5702">
        <w:rPr>
          <w:sz w:val="22"/>
          <w:szCs w:val="22"/>
        </w:rPr>
        <w:t>Gothenburg, Sweden, August 20 - 24, 2018</w:t>
      </w:r>
    </w:p>
    <w:bookmarkEnd w:id="1"/>
    <w:p w14:paraId="224F801B" w14:textId="38A9764E" w:rsidR="0076023F" w:rsidRPr="0076023F" w:rsidRDefault="00827B85" w:rsidP="00827B85">
      <w:pPr>
        <w:tabs>
          <w:tab w:val="left" w:pos="1993"/>
        </w:tabs>
        <w:overflowPunct w:val="0"/>
        <w:autoSpaceDE w:val="0"/>
        <w:autoSpaceDN w:val="0"/>
        <w:adjustRightInd w:val="0"/>
        <w:spacing w:before="100" w:beforeAutospacing="1" w:after="100" w:afterAutospacing="1"/>
        <w:ind w:left="562"/>
        <w:textAlignment w:val="baseline"/>
        <w:rPr>
          <w:sz w:val="22"/>
          <w:szCs w:val="22"/>
        </w:rPr>
      </w:pPr>
      <w:r>
        <w:rPr>
          <w:sz w:val="22"/>
          <w:szCs w:val="22"/>
        </w:rPr>
        <w:tab/>
      </w:r>
    </w:p>
    <w:sectPr w:rsidR="0076023F" w:rsidRPr="0076023F"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07934" w14:textId="77777777" w:rsidR="00377470" w:rsidRDefault="00377470">
      <w:r>
        <w:separator/>
      </w:r>
    </w:p>
  </w:endnote>
  <w:endnote w:type="continuationSeparator" w:id="0">
    <w:p w14:paraId="47BF3D08" w14:textId="77777777" w:rsidR="00377470" w:rsidRDefault="00377470">
      <w:r>
        <w:continuationSeparator/>
      </w:r>
    </w:p>
  </w:endnote>
  <w:endnote w:type="continuationNotice" w:id="1">
    <w:p w14:paraId="0CE855D0" w14:textId="77777777" w:rsidR="00377470" w:rsidRDefault="00377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30688" w14:textId="77777777" w:rsidR="00377470" w:rsidRDefault="00377470">
      <w:r>
        <w:separator/>
      </w:r>
    </w:p>
  </w:footnote>
  <w:footnote w:type="continuationSeparator" w:id="0">
    <w:p w14:paraId="5C61477C" w14:textId="77777777" w:rsidR="00377470" w:rsidRDefault="00377470">
      <w:r>
        <w:continuationSeparator/>
      </w:r>
    </w:p>
  </w:footnote>
  <w:footnote w:type="continuationNotice" w:id="1">
    <w:p w14:paraId="74B9341D" w14:textId="77777777" w:rsidR="00377470" w:rsidRDefault="003774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75E5C"/>
    <w:multiLevelType w:val="hybridMultilevel"/>
    <w:tmpl w:val="62AA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A73CA"/>
    <w:multiLevelType w:val="hybridMultilevel"/>
    <w:tmpl w:val="98AA4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F02525"/>
    <w:multiLevelType w:val="hybridMultilevel"/>
    <w:tmpl w:val="BE2C3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635C3"/>
    <w:multiLevelType w:val="hybridMultilevel"/>
    <w:tmpl w:val="59A6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55369"/>
    <w:multiLevelType w:val="hybridMultilevel"/>
    <w:tmpl w:val="3D8ED2F2"/>
    <w:lvl w:ilvl="0" w:tplc="17A8EB9A">
      <w:start w:val="1"/>
      <w:numFmt w:val="decimal"/>
      <w:lvlText w:val="%1."/>
      <w:lvlJc w:val="left"/>
      <w:pPr>
        <w:tabs>
          <w:tab w:val="num" w:pos="720"/>
        </w:tabs>
        <w:ind w:left="720" w:hanging="360"/>
      </w:pPr>
    </w:lvl>
    <w:lvl w:ilvl="1" w:tplc="35C06580">
      <w:start w:val="931"/>
      <w:numFmt w:val="bullet"/>
      <w:lvlText w:val=""/>
      <w:lvlJc w:val="left"/>
      <w:pPr>
        <w:tabs>
          <w:tab w:val="num" w:pos="1440"/>
        </w:tabs>
        <w:ind w:left="1440" w:hanging="360"/>
      </w:pPr>
      <w:rPr>
        <w:rFonts w:ascii="Wingdings" w:hAnsi="Wingdings" w:hint="default"/>
      </w:rPr>
    </w:lvl>
    <w:lvl w:ilvl="2" w:tplc="6416FBF6" w:tentative="1">
      <w:start w:val="1"/>
      <w:numFmt w:val="decimal"/>
      <w:lvlText w:val="%3."/>
      <w:lvlJc w:val="left"/>
      <w:pPr>
        <w:tabs>
          <w:tab w:val="num" w:pos="2160"/>
        </w:tabs>
        <w:ind w:left="2160" w:hanging="360"/>
      </w:pPr>
    </w:lvl>
    <w:lvl w:ilvl="3" w:tplc="920659FA" w:tentative="1">
      <w:start w:val="1"/>
      <w:numFmt w:val="decimal"/>
      <w:lvlText w:val="%4."/>
      <w:lvlJc w:val="left"/>
      <w:pPr>
        <w:tabs>
          <w:tab w:val="num" w:pos="2880"/>
        </w:tabs>
        <w:ind w:left="2880" w:hanging="360"/>
      </w:pPr>
    </w:lvl>
    <w:lvl w:ilvl="4" w:tplc="4FC21E2A" w:tentative="1">
      <w:start w:val="1"/>
      <w:numFmt w:val="decimal"/>
      <w:lvlText w:val="%5."/>
      <w:lvlJc w:val="left"/>
      <w:pPr>
        <w:tabs>
          <w:tab w:val="num" w:pos="3600"/>
        </w:tabs>
        <w:ind w:left="3600" w:hanging="360"/>
      </w:pPr>
    </w:lvl>
    <w:lvl w:ilvl="5" w:tplc="A9FA7C04" w:tentative="1">
      <w:start w:val="1"/>
      <w:numFmt w:val="decimal"/>
      <w:lvlText w:val="%6."/>
      <w:lvlJc w:val="left"/>
      <w:pPr>
        <w:tabs>
          <w:tab w:val="num" w:pos="4320"/>
        </w:tabs>
        <w:ind w:left="4320" w:hanging="360"/>
      </w:pPr>
    </w:lvl>
    <w:lvl w:ilvl="6" w:tplc="04EAEE32" w:tentative="1">
      <w:start w:val="1"/>
      <w:numFmt w:val="decimal"/>
      <w:lvlText w:val="%7."/>
      <w:lvlJc w:val="left"/>
      <w:pPr>
        <w:tabs>
          <w:tab w:val="num" w:pos="5040"/>
        </w:tabs>
        <w:ind w:left="5040" w:hanging="360"/>
      </w:pPr>
    </w:lvl>
    <w:lvl w:ilvl="7" w:tplc="AA54EA90" w:tentative="1">
      <w:start w:val="1"/>
      <w:numFmt w:val="decimal"/>
      <w:lvlText w:val="%8."/>
      <w:lvlJc w:val="left"/>
      <w:pPr>
        <w:tabs>
          <w:tab w:val="num" w:pos="5760"/>
        </w:tabs>
        <w:ind w:left="5760" w:hanging="360"/>
      </w:pPr>
    </w:lvl>
    <w:lvl w:ilvl="8" w:tplc="3F0E6F2E" w:tentative="1">
      <w:start w:val="1"/>
      <w:numFmt w:val="decimal"/>
      <w:lvlText w:val="%9."/>
      <w:lvlJc w:val="left"/>
      <w:pPr>
        <w:tabs>
          <w:tab w:val="num" w:pos="6480"/>
        </w:tabs>
        <w:ind w:left="6480" w:hanging="360"/>
      </w:pPr>
    </w:lvl>
  </w:abstractNum>
  <w:abstractNum w:abstractNumId="9"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E6A7D"/>
    <w:multiLevelType w:val="hybridMultilevel"/>
    <w:tmpl w:val="AB0C6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1873C0"/>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08471C"/>
    <w:multiLevelType w:val="hybridMultilevel"/>
    <w:tmpl w:val="8842D3F0"/>
    <w:lvl w:ilvl="0" w:tplc="57641522">
      <w:start w:val="1"/>
      <w:numFmt w:val="bullet"/>
      <w:lvlText w:val="•"/>
      <w:lvlJc w:val="left"/>
      <w:pPr>
        <w:tabs>
          <w:tab w:val="num" w:pos="720"/>
        </w:tabs>
        <w:ind w:left="720" w:hanging="360"/>
      </w:pPr>
      <w:rPr>
        <w:rFonts w:ascii="Arial" w:hAnsi="Arial" w:hint="default"/>
      </w:rPr>
    </w:lvl>
    <w:lvl w:ilvl="1" w:tplc="3822E346">
      <w:start w:val="481"/>
      <w:numFmt w:val="bullet"/>
      <w:lvlText w:val="–"/>
      <w:lvlJc w:val="left"/>
      <w:pPr>
        <w:tabs>
          <w:tab w:val="num" w:pos="1440"/>
        </w:tabs>
        <w:ind w:left="1440" w:hanging="360"/>
      </w:pPr>
      <w:rPr>
        <w:rFonts w:ascii="Arial" w:hAnsi="Arial" w:hint="default"/>
      </w:rPr>
    </w:lvl>
    <w:lvl w:ilvl="2" w:tplc="724660B0">
      <w:start w:val="929"/>
      <w:numFmt w:val="bullet"/>
      <w:lvlText w:val="•"/>
      <w:lvlJc w:val="left"/>
      <w:pPr>
        <w:tabs>
          <w:tab w:val="num" w:pos="2160"/>
        </w:tabs>
        <w:ind w:left="2160" w:hanging="360"/>
      </w:pPr>
      <w:rPr>
        <w:rFonts w:ascii="Arial" w:hAnsi="Arial" w:hint="default"/>
      </w:rPr>
    </w:lvl>
    <w:lvl w:ilvl="3" w:tplc="A8D467F6" w:tentative="1">
      <w:start w:val="1"/>
      <w:numFmt w:val="bullet"/>
      <w:lvlText w:val="•"/>
      <w:lvlJc w:val="left"/>
      <w:pPr>
        <w:tabs>
          <w:tab w:val="num" w:pos="2880"/>
        </w:tabs>
        <w:ind w:left="2880" w:hanging="360"/>
      </w:pPr>
      <w:rPr>
        <w:rFonts w:ascii="Arial" w:hAnsi="Arial" w:hint="default"/>
      </w:rPr>
    </w:lvl>
    <w:lvl w:ilvl="4" w:tplc="B9D24D44" w:tentative="1">
      <w:start w:val="1"/>
      <w:numFmt w:val="bullet"/>
      <w:lvlText w:val="•"/>
      <w:lvlJc w:val="left"/>
      <w:pPr>
        <w:tabs>
          <w:tab w:val="num" w:pos="3600"/>
        </w:tabs>
        <w:ind w:left="3600" w:hanging="360"/>
      </w:pPr>
      <w:rPr>
        <w:rFonts w:ascii="Arial" w:hAnsi="Arial" w:hint="default"/>
      </w:rPr>
    </w:lvl>
    <w:lvl w:ilvl="5" w:tplc="9704DEE4" w:tentative="1">
      <w:start w:val="1"/>
      <w:numFmt w:val="bullet"/>
      <w:lvlText w:val="•"/>
      <w:lvlJc w:val="left"/>
      <w:pPr>
        <w:tabs>
          <w:tab w:val="num" w:pos="4320"/>
        </w:tabs>
        <w:ind w:left="4320" w:hanging="360"/>
      </w:pPr>
      <w:rPr>
        <w:rFonts w:ascii="Arial" w:hAnsi="Arial" w:hint="default"/>
      </w:rPr>
    </w:lvl>
    <w:lvl w:ilvl="6" w:tplc="76484AD4" w:tentative="1">
      <w:start w:val="1"/>
      <w:numFmt w:val="bullet"/>
      <w:lvlText w:val="•"/>
      <w:lvlJc w:val="left"/>
      <w:pPr>
        <w:tabs>
          <w:tab w:val="num" w:pos="5040"/>
        </w:tabs>
        <w:ind w:left="5040" w:hanging="360"/>
      </w:pPr>
      <w:rPr>
        <w:rFonts w:ascii="Arial" w:hAnsi="Arial" w:hint="default"/>
      </w:rPr>
    </w:lvl>
    <w:lvl w:ilvl="7" w:tplc="24CAA9D8" w:tentative="1">
      <w:start w:val="1"/>
      <w:numFmt w:val="bullet"/>
      <w:lvlText w:val="•"/>
      <w:lvlJc w:val="left"/>
      <w:pPr>
        <w:tabs>
          <w:tab w:val="num" w:pos="5760"/>
        </w:tabs>
        <w:ind w:left="5760" w:hanging="360"/>
      </w:pPr>
      <w:rPr>
        <w:rFonts w:ascii="Arial" w:hAnsi="Arial" w:hint="default"/>
      </w:rPr>
    </w:lvl>
    <w:lvl w:ilvl="8" w:tplc="3BD6F9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54415D"/>
    <w:multiLevelType w:val="hybridMultilevel"/>
    <w:tmpl w:val="CAAA7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423DA"/>
    <w:multiLevelType w:val="hybridMultilevel"/>
    <w:tmpl w:val="12E2E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57DEC"/>
    <w:multiLevelType w:val="hybridMultilevel"/>
    <w:tmpl w:val="110A2788"/>
    <w:lvl w:ilvl="0" w:tplc="DD0A7D68">
      <w:start w:val="1"/>
      <w:numFmt w:val="bullet"/>
      <w:lvlText w:val="•"/>
      <w:lvlJc w:val="left"/>
      <w:pPr>
        <w:tabs>
          <w:tab w:val="num" w:pos="720"/>
        </w:tabs>
        <w:ind w:left="720" w:hanging="360"/>
      </w:pPr>
      <w:rPr>
        <w:rFonts w:ascii="Arial" w:hAnsi="Arial" w:hint="default"/>
      </w:rPr>
    </w:lvl>
    <w:lvl w:ilvl="1" w:tplc="676038DA">
      <w:start w:val="448"/>
      <w:numFmt w:val="bullet"/>
      <w:lvlText w:val="•"/>
      <w:lvlJc w:val="left"/>
      <w:pPr>
        <w:tabs>
          <w:tab w:val="num" w:pos="1440"/>
        </w:tabs>
        <w:ind w:left="1440" w:hanging="360"/>
      </w:pPr>
      <w:rPr>
        <w:rFonts w:ascii="Arial" w:hAnsi="Arial" w:hint="default"/>
      </w:rPr>
    </w:lvl>
    <w:lvl w:ilvl="2" w:tplc="51827714" w:tentative="1">
      <w:start w:val="1"/>
      <w:numFmt w:val="bullet"/>
      <w:lvlText w:val="•"/>
      <w:lvlJc w:val="left"/>
      <w:pPr>
        <w:tabs>
          <w:tab w:val="num" w:pos="2160"/>
        </w:tabs>
        <w:ind w:left="2160" w:hanging="360"/>
      </w:pPr>
      <w:rPr>
        <w:rFonts w:ascii="Arial" w:hAnsi="Arial" w:hint="default"/>
      </w:rPr>
    </w:lvl>
    <w:lvl w:ilvl="3" w:tplc="9740E634" w:tentative="1">
      <w:start w:val="1"/>
      <w:numFmt w:val="bullet"/>
      <w:lvlText w:val="•"/>
      <w:lvlJc w:val="left"/>
      <w:pPr>
        <w:tabs>
          <w:tab w:val="num" w:pos="2880"/>
        </w:tabs>
        <w:ind w:left="2880" w:hanging="360"/>
      </w:pPr>
      <w:rPr>
        <w:rFonts w:ascii="Arial" w:hAnsi="Arial" w:hint="default"/>
      </w:rPr>
    </w:lvl>
    <w:lvl w:ilvl="4" w:tplc="FDAA0F40" w:tentative="1">
      <w:start w:val="1"/>
      <w:numFmt w:val="bullet"/>
      <w:lvlText w:val="•"/>
      <w:lvlJc w:val="left"/>
      <w:pPr>
        <w:tabs>
          <w:tab w:val="num" w:pos="3600"/>
        </w:tabs>
        <w:ind w:left="3600" w:hanging="360"/>
      </w:pPr>
      <w:rPr>
        <w:rFonts w:ascii="Arial" w:hAnsi="Arial" w:hint="default"/>
      </w:rPr>
    </w:lvl>
    <w:lvl w:ilvl="5" w:tplc="79E6091C" w:tentative="1">
      <w:start w:val="1"/>
      <w:numFmt w:val="bullet"/>
      <w:lvlText w:val="•"/>
      <w:lvlJc w:val="left"/>
      <w:pPr>
        <w:tabs>
          <w:tab w:val="num" w:pos="4320"/>
        </w:tabs>
        <w:ind w:left="4320" w:hanging="360"/>
      </w:pPr>
      <w:rPr>
        <w:rFonts w:ascii="Arial" w:hAnsi="Arial" w:hint="default"/>
      </w:rPr>
    </w:lvl>
    <w:lvl w:ilvl="6" w:tplc="F0848FAE" w:tentative="1">
      <w:start w:val="1"/>
      <w:numFmt w:val="bullet"/>
      <w:lvlText w:val="•"/>
      <w:lvlJc w:val="left"/>
      <w:pPr>
        <w:tabs>
          <w:tab w:val="num" w:pos="5040"/>
        </w:tabs>
        <w:ind w:left="5040" w:hanging="360"/>
      </w:pPr>
      <w:rPr>
        <w:rFonts w:ascii="Arial" w:hAnsi="Arial" w:hint="default"/>
      </w:rPr>
    </w:lvl>
    <w:lvl w:ilvl="7" w:tplc="77C4128C" w:tentative="1">
      <w:start w:val="1"/>
      <w:numFmt w:val="bullet"/>
      <w:lvlText w:val="•"/>
      <w:lvlJc w:val="left"/>
      <w:pPr>
        <w:tabs>
          <w:tab w:val="num" w:pos="5760"/>
        </w:tabs>
        <w:ind w:left="5760" w:hanging="360"/>
      </w:pPr>
      <w:rPr>
        <w:rFonts w:ascii="Arial" w:hAnsi="Arial" w:hint="default"/>
      </w:rPr>
    </w:lvl>
    <w:lvl w:ilvl="8" w:tplc="F8324A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4B7A18"/>
    <w:multiLevelType w:val="hybridMultilevel"/>
    <w:tmpl w:val="A62A3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A07275"/>
    <w:multiLevelType w:val="hybridMultilevel"/>
    <w:tmpl w:val="4C548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6A3552"/>
    <w:multiLevelType w:val="hybridMultilevel"/>
    <w:tmpl w:val="7916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021449"/>
    <w:multiLevelType w:val="hybridMultilevel"/>
    <w:tmpl w:val="DEDAE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66DCD"/>
    <w:multiLevelType w:val="hybridMultilevel"/>
    <w:tmpl w:val="1FB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BB2D70"/>
    <w:multiLevelType w:val="hybridMultilevel"/>
    <w:tmpl w:val="CAAA7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3B78CB"/>
    <w:multiLevelType w:val="hybridMultilevel"/>
    <w:tmpl w:val="457AE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7FC501E"/>
    <w:multiLevelType w:val="hybridMultilevel"/>
    <w:tmpl w:val="B9464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02839"/>
    <w:multiLevelType w:val="hybridMultilevel"/>
    <w:tmpl w:val="1692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651953"/>
    <w:multiLevelType w:val="hybridMultilevel"/>
    <w:tmpl w:val="4014C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E4164F"/>
    <w:multiLevelType w:val="hybridMultilevel"/>
    <w:tmpl w:val="5B543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C6583D"/>
    <w:multiLevelType w:val="hybridMultilevel"/>
    <w:tmpl w:val="3C3E9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030FB8"/>
    <w:multiLevelType w:val="hybridMultilevel"/>
    <w:tmpl w:val="DF36D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DC63B1"/>
    <w:multiLevelType w:val="hybridMultilevel"/>
    <w:tmpl w:val="F10AC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D90091"/>
    <w:multiLevelType w:val="hybridMultilevel"/>
    <w:tmpl w:val="5C84B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6B4CAB"/>
    <w:multiLevelType w:val="hybridMultilevel"/>
    <w:tmpl w:val="8C32E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CF4160"/>
    <w:multiLevelType w:val="hybridMultilevel"/>
    <w:tmpl w:val="70526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34405F"/>
    <w:multiLevelType w:val="hybridMultilevel"/>
    <w:tmpl w:val="01C2B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3"/>
  </w:num>
  <w:num w:numId="3">
    <w:abstractNumId w:val="22"/>
  </w:num>
  <w:num w:numId="4">
    <w:abstractNumId w:val="23"/>
  </w:num>
  <w:num w:numId="5">
    <w:abstractNumId w:val="16"/>
  </w:num>
  <w:num w:numId="6">
    <w:abstractNumId w:val="27"/>
  </w:num>
  <w:num w:numId="7">
    <w:abstractNumId w:val="37"/>
  </w:num>
  <w:num w:numId="8">
    <w:abstractNumId w:val="17"/>
  </w:num>
  <w:num w:numId="9">
    <w:abstractNumId w:val="34"/>
  </w:num>
  <w:num w:numId="10">
    <w:abstractNumId w:val="0"/>
  </w:num>
  <w:num w:numId="11">
    <w:abstractNumId w:val="30"/>
  </w:num>
  <w:num w:numId="12">
    <w:abstractNumId w:val="7"/>
  </w:num>
  <w:num w:numId="13">
    <w:abstractNumId w:val="19"/>
  </w:num>
  <w:num w:numId="14">
    <w:abstractNumId w:val="39"/>
  </w:num>
  <w:num w:numId="15">
    <w:abstractNumId w:val="32"/>
  </w:num>
  <w:num w:numId="16">
    <w:abstractNumId w:val="20"/>
  </w:num>
  <w:num w:numId="17">
    <w:abstractNumId w:val="2"/>
  </w:num>
  <w:num w:numId="18">
    <w:abstractNumId w:val="11"/>
  </w:num>
  <w:num w:numId="19">
    <w:abstractNumId w:val="5"/>
  </w:num>
  <w:num w:numId="20">
    <w:abstractNumId w:val="29"/>
  </w:num>
  <w:num w:numId="21">
    <w:abstractNumId w:val="26"/>
  </w:num>
  <w:num w:numId="22">
    <w:abstractNumId w:val="40"/>
  </w:num>
  <w:num w:numId="23">
    <w:abstractNumId w:val="38"/>
  </w:num>
  <w:num w:numId="24">
    <w:abstractNumId w:val="35"/>
  </w:num>
  <w:num w:numId="25">
    <w:abstractNumId w:val="36"/>
  </w:num>
  <w:num w:numId="26">
    <w:abstractNumId w:val="24"/>
  </w:num>
  <w:num w:numId="27">
    <w:abstractNumId w:val="21"/>
  </w:num>
  <w:num w:numId="28">
    <w:abstractNumId w:val="44"/>
  </w:num>
  <w:num w:numId="29">
    <w:abstractNumId w:val="12"/>
  </w:num>
  <w:num w:numId="30">
    <w:abstractNumId w:val="9"/>
  </w:num>
  <w:num w:numId="31">
    <w:abstractNumId w:val="10"/>
  </w:num>
  <w:num w:numId="32">
    <w:abstractNumId w:val="42"/>
  </w:num>
  <w:num w:numId="33">
    <w:abstractNumId w:val="45"/>
  </w:num>
  <w:num w:numId="34">
    <w:abstractNumId w:val="28"/>
  </w:num>
  <w:num w:numId="35">
    <w:abstractNumId w:val="8"/>
  </w:num>
  <w:num w:numId="36">
    <w:abstractNumId w:val="14"/>
  </w:num>
  <w:num w:numId="37">
    <w:abstractNumId w:val="18"/>
  </w:num>
  <w:num w:numId="38">
    <w:abstractNumId w:val="15"/>
  </w:num>
  <w:num w:numId="39">
    <w:abstractNumId w:val="41"/>
  </w:num>
  <w:num w:numId="40">
    <w:abstractNumId w:val="31"/>
  </w:num>
  <w:num w:numId="41">
    <w:abstractNumId w:val="4"/>
  </w:num>
  <w:num w:numId="42">
    <w:abstractNumId w:val="6"/>
  </w:num>
  <w:num w:numId="43">
    <w:abstractNumId w:val="13"/>
  </w:num>
  <w:num w:numId="44">
    <w:abstractNumId w:val="3"/>
  </w:num>
  <w:num w:numId="45">
    <w:abstractNumId w:val="25"/>
  </w:num>
  <w:num w:numId="46">
    <w:abstractNumId w:val="4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514"/>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69D4"/>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455D"/>
    <w:rsid w:val="002F4597"/>
    <w:rsid w:val="002F459D"/>
    <w:rsid w:val="002F4940"/>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470"/>
    <w:rsid w:val="00377CE1"/>
    <w:rsid w:val="003807F1"/>
    <w:rsid w:val="003815BB"/>
    <w:rsid w:val="0038168D"/>
    <w:rsid w:val="00382541"/>
    <w:rsid w:val="00383C13"/>
    <w:rsid w:val="00384372"/>
    <w:rsid w:val="00384F45"/>
    <w:rsid w:val="0038531D"/>
    <w:rsid w:val="00385BF0"/>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43B1"/>
    <w:rsid w:val="00484649"/>
    <w:rsid w:val="00484CFB"/>
    <w:rsid w:val="004853CE"/>
    <w:rsid w:val="00485A5D"/>
    <w:rsid w:val="0048618E"/>
    <w:rsid w:val="004865E7"/>
    <w:rsid w:val="00487488"/>
    <w:rsid w:val="004877E2"/>
    <w:rsid w:val="00490604"/>
    <w:rsid w:val="00492BC5"/>
    <w:rsid w:val="004933EA"/>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49C8"/>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E1"/>
    <w:rsid w:val="00A65E06"/>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52"/>
    <w:rsid w:val="00AE0470"/>
    <w:rsid w:val="00AE07E6"/>
    <w:rsid w:val="00AE098D"/>
    <w:rsid w:val="00AE0B14"/>
    <w:rsid w:val="00AE0C21"/>
    <w:rsid w:val="00AE23EE"/>
    <w:rsid w:val="00AE2540"/>
    <w:rsid w:val="00AE27AC"/>
    <w:rsid w:val="00AE33F2"/>
    <w:rsid w:val="00AE3981"/>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931"/>
    <w:rsid w:val="00C752B6"/>
    <w:rsid w:val="00C75D2F"/>
    <w:rsid w:val="00C767BE"/>
    <w:rsid w:val="00C76963"/>
    <w:rsid w:val="00C76E3C"/>
    <w:rsid w:val="00C76F2F"/>
    <w:rsid w:val="00C770F2"/>
    <w:rsid w:val="00C77209"/>
    <w:rsid w:val="00C77A34"/>
    <w:rsid w:val="00C8128A"/>
    <w:rsid w:val="00C81568"/>
    <w:rsid w:val="00C83454"/>
    <w:rsid w:val="00C836BC"/>
    <w:rsid w:val="00C837B2"/>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6E12"/>
    <w:rsid w:val="00CD7877"/>
    <w:rsid w:val="00CD78AE"/>
    <w:rsid w:val="00CE0424"/>
    <w:rsid w:val="00CE182B"/>
    <w:rsid w:val="00CE225F"/>
    <w:rsid w:val="00CE24E1"/>
    <w:rsid w:val="00CE2651"/>
    <w:rsid w:val="00CE2852"/>
    <w:rsid w:val="00CE2883"/>
    <w:rsid w:val="00CE2A8A"/>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5D2EA-06FA-5A4D-B17A-DBAB4991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690</TotalTime>
  <Pages>5</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852</cp:revision>
  <cp:lastPrinted>2008-01-31T16:09:00Z</cp:lastPrinted>
  <dcterms:created xsi:type="dcterms:W3CDTF">2017-09-28T15:58:00Z</dcterms:created>
  <dcterms:modified xsi:type="dcterms:W3CDTF">2018-09-28T15:44:00Z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